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876"/>
      </w:tblGrid>
      <w:tr w:rsidR="0032552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</w:tcPr>
          <w:p w:rsidR="0032552C" w:rsidRDefault="0032552C">
            <w:pPr>
              <w:pStyle w:val="ConsPlusTitlePage0"/>
            </w:pPr>
          </w:p>
        </w:tc>
      </w:tr>
      <w:tr w:rsidR="0032552C">
        <w:tblPrEx>
          <w:tblCellMar>
            <w:top w:w="0" w:type="dxa"/>
            <w:bottom w:w="0" w:type="dxa"/>
          </w:tblCellMar>
        </w:tblPrEx>
        <w:trPr>
          <w:trHeight w:hRule="exact" w:val="8335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2552C" w:rsidRDefault="00573F06">
            <w:pPr>
              <w:pStyle w:val="ConsPlusTitlePage0"/>
              <w:jc w:val="center"/>
            </w:pPr>
            <w:r>
              <w:rPr>
                <w:sz w:val="48"/>
              </w:rPr>
              <w:t>Приказ Главного управления организации торгов Самарской области от 17.08.2021 N 199</w:t>
            </w:r>
            <w:r>
              <w:rPr>
                <w:sz w:val="48"/>
              </w:rPr>
              <w:br/>
              <w:t>(ред. от 08.04.2022)</w:t>
            </w:r>
            <w:r>
              <w:rPr>
                <w:sz w:val="48"/>
              </w:rPr>
              <w:br/>
              <w:t xml:space="preserve">"Об утверждении Порядка проведения аукциона на право заключения </w:t>
            </w:r>
            <w:proofErr w:type="spellStart"/>
            <w:r>
              <w:rPr>
                <w:sz w:val="48"/>
              </w:rPr>
              <w:t>охотхозяйственного</w:t>
            </w:r>
            <w:proofErr w:type="spellEnd"/>
            <w:r>
              <w:rPr>
                <w:sz w:val="48"/>
              </w:rPr>
              <w:t xml:space="preserve"> соглашения"</w:t>
            </w:r>
          </w:p>
        </w:tc>
      </w:tr>
      <w:tr w:rsidR="0032552C">
        <w:tblPrEx>
          <w:tblCellMar>
            <w:top w:w="0" w:type="dxa"/>
            <w:bottom w:w="0" w:type="dxa"/>
          </w:tblCellMar>
        </w:tblPrEx>
        <w:trPr>
          <w:trHeight w:hRule="exact" w:val="3031"/>
        </w:trPr>
        <w:tc>
          <w:tcPr>
            <w:tcW w:w="10716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80" w:type="dxa"/>
              <w:bottom w:w="60" w:type="dxa"/>
              <w:right w:w="80" w:type="dxa"/>
            </w:tcMar>
            <w:vAlign w:val="center"/>
          </w:tcPr>
          <w:p w:rsidR="0032552C" w:rsidRDefault="0032552C">
            <w:pPr>
              <w:pStyle w:val="ConsPlusTitlePage0"/>
              <w:jc w:val="center"/>
            </w:pPr>
          </w:p>
        </w:tc>
      </w:tr>
    </w:tbl>
    <w:p w:rsidR="0032552C" w:rsidRDefault="0032552C">
      <w:pPr>
        <w:pStyle w:val="ConsPlusNormal0"/>
        <w:sectPr w:rsidR="0032552C">
          <w:pgSz w:w="11906" w:h="16838"/>
          <w:pgMar w:top="841" w:right="595" w:bottom="841" w:left="595" w:header="0" w:footer="0" w:gutter="0"/>
          <w:cols w:space="720"/>
          <w:titlePg/>
        </w:sectPr>
      </w:pPr>
    </w:p>
    <w:p w:rsidR="0032552C" w:rsidRDefault="00573F06">
      <w:pPr>
        <w:pStyle w:val="ConsPlusTitle0"/>
        <w:jc w:val="center"/>
        <w:outlineLvl w:val="0"/>
      </w:pPr>
      <w:bookmarkStart w:id="0" w:name="_GoBack"/>
      <w:bookmarkEnd w:id="0"/>
      <w:r>
        <w:lastRenderedPageBreak/>
        <w:t>ГЛАВНОЕ УПРАВЛЕНИЕ ОРГАНИЗАЦИИ ТОРГОВ</w:t>
      </w:r>
    </w:p>
    <w:p w:rsidR="0032552C" w:rsidRDefault="00573F06">
      <w:pPr>
        <w:pStyle w:val="ConsPlusTitle0"/>
        <w:jc w:val="center"/>
      </w:pPr>
      <w:r>
        <w:t>САМАРСКОЙ ОБЛАСТИ</w:t>
      </w:r>
    </w:p>
    <w:p w:rsidR="0032552C" w:rsidRDefault="0032552C">
      <w:pPr>
        <w:pStyle w:val="ConsPlusTitle0"/>
        <w:jc w:val="both"/>
      </w:pPr>
    </w:p>
    <w:p w:rsidR="0032552C" w:rsidRDefault="00573F06">
      <w:pPr>
        <w:pStyle w:val="ConsPlusTitle0"/>
        <w:jc w:val="center"/>
      </w:pPr>
      <w:r>
        <w:t>ПРИКАЗ</w:t>
      </w:r>
    </w:p>
    <w:p w:rsidR="0032552C" w:rsidRDefault="00573F06">
      <w:pPr>
        <w:pStyle w:val="ConsPlusTitle0"/>
        <w:jc w:val="center"/>
      </w:pPr>
      <w:r>
        <w:t>от 17 августа 2021 г. N 199</w:t>
      </w:r>
    </w:p>
    <w:p w:rsidR="0032552C" w:rsidRDefault="0032552C">
      <w:pPr>
        <w:pStyle w:val="ConsPlusTitle0"/>
        <w:jc w:val="both"/>
      </w:pPr>
    </w:p>
    <w:p w:rsidR="0032552C" w:rsidRDefault="00573F06">
      <w:pPr>
        <w:pStyle w:val="ConsPlusTitle0"/>
        <w:jc w:val="center"/>
      </w:pPr>
      <w:r>
        <w:t>ОБ УТВЕРЖДЕНИИ ПОРЯДКА ПРОВЕДЕНИЯ АУКЦИОНА НА ПРАВО</w:t>
      </w:r>
    </w:p>
    <w:p w:rsidR="0032552C" w:rsidRDefault="00573F06">
      <w:pPr>
        <w:pStyle w:val="ConsPlusTitle0"/>
        <w:jc w:val="center"/>
      </w:pPr>
      <w:r>
        <w:t>ЗАКЛЮЧЕНИЯ ОХОТХОЗЯЙСТВЕННОГО СОГЛАШЕНИЯ</w:t>
      </w:r>
    </w:p>
    <w:p w:rsidR="0032552C" w:rsidRDefault="0032552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3255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2552C" w:rsidRDefault="00573F0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552C" w:rsidRDefault="00573F06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7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Главного управления организации торгов Самарской области</w:t>
            </w:r>
            <w:proofErr w:type="gramEnd"/>
          </w:p>
          <w:p w:rsidR="0032552C" w:rsidRDefault="00573F06">
            <w:pPr>
              <w:pStyle w:val="ConsPlusNormal0"/>
              <w:jc w:val="center"/>
            </w:pPr>
            <w:r>
              <w:rPr>
                <w:color w:val="392C69"/>
              </w:rPr>
              <w:t>от 08.0</w:t>
            </w:r>
            <w:r>
              <w:rPr>
                <w:color w:val="392C69"/>
              </w:rPr>
              <w:t>4.2022 N 115)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</w:tr>
    </w:tbl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В соответствии со </w:t>
      </w:r>
      <w:hyperlink r:id="rId8" w:tooltip="Федеральный закон от 24.07.2009 N 209-ФЗ (ред. от 04.11.2022) &quot;Об охоте и о сохранении охотничьих ресурсов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статьей 28</w:t>
        </w:r>
      </w:hyperlink>
      <w:r>
        <w:t xml:space="preserve"> Федерального закона от 24.07.2009 N 209-ФЗ "Об охоте и о сохранении охотничьих ресурсов и </w:t>
      </w:r>
      <w:r>
        <w:t xml:space="preserve">о внесении изменений в отдельные законодательные акты Российской Федерации", </w:t>
      </w:r>
      <w:hyperlink r:id="rId9" w:tooltip="Постановление Правительства Самарской области от 21.12.2005 N 165 (ред. от 15.02.2023) &quot;О принятии Положения о Главном управлении организации торгов Самарской области&quot; {КонсультантПлюс}">
        <w:r>
          <w:rPr>
            <w:color w:val="0000FF"/>
          </w:rPr>
          <w:t>Положением</w:t>
        </w:r>
      </w:hyperlink>
      <w:r>
        <w:t xml:space="preserve"> о Главном управлении организации торгов Самарской области</w:t>
      </w:r>
      <w:r>
        <w:t>, утвержденным постановлением Правительства Самарской области от 21.12.2005 N 165, приказываю: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1. Утвердить </w:t>
      </w:r>
      <w:hyperlink w:anchor="P32" w:tooltip="ПОРЯДОК">
        <w:r>
          <w:rPr>
            <w:color w:val="0000FF"/>
          </w:rPr>
          <w:t>Порядок</w:t>
        </w:r>
      </w:hyperlink>
      <w:r>
        <w:t xml:space="preserve"> проведения аукциона на право заключения </w:t>
      </w:r>
      <w:proofErr w:type="spellStart"/>
      <w:r>
        <w:t>охотхозяйственного</w:t>
      </w:r>
      <w:proofErr w:type="spellEnd"/>
      <w:r>
        <w:t xml:space="preserve"> соглашения согласно приложению к настоящем</w:t>
      </w:r>
      <w:r>
        <w:t>у Приказу.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 Опубликовать настоящий Приказ в средствах массовой информации.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3. Настоящий Приказ вступает в силу со дня его опубликования.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4. </w:t>
      </w:r>
      <w:proofErr w:type="gramStart"/>
      <w:r>
        <w:t>Контроль за</w:t>
      </w:r>
      <w:proofErr w:type="gramEnd"/>
      <w:r>
        <w:t xml:space="preserve"> исполнением настоящего Приказа оставляю за собой.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jc w:val="right"/>
      </w:pPr>
      <w:proofErr w:type="spellStart"/>
      <w:r>
        <w:t>И.о</w:t>
      </w:r>
      <w:proofErr w:type="spellEnd"/>
      <w:r>
        <w:t>. руководителя</w:t>
      </w:r>
    </w:p>
    <w:p w:rsidR="0032552C" w:rsidRDefault="00573F06">
      <w:pPr>
        <w:pStyle w:val="ConsPlusNormal0"/>
        <w:jc w:val="right"/>
      </w:pPr>
      <w:r>
        <w:t>М.Е.КАРЕЛИНА</w:t>
      </w: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jc w:val="right"/>
        <w:outlineLvl w:val="0"/>
      </w:pPr>
      <w:r>
        <w:t>Приложение</w:t>
      </w:r>
    </w:p>
    <w:p w:rsidR="0032552C" w:rsidRDefault="00573F06">
      <w:pPr>
        <w:pStyle w:val="ConsPlusNormal0"/>
        <w:jc w:val="right"/>
      </w:pPr>
      <w:r>
        <w:t>к Приказу</w:t>
      </w:r>
    </w:p>
    <w:p w:rsidR="0032552C" w:rsidRDefault="00573F06">
      <w:pPr>
        <w:pStyle w:val="ConsPlusNormal0"/>
        <w:jc w:val="right"/>
      </w:pPr>
      <w:r>
        <w:t>Главного управления организации торгов</w:t>
      </w:r>
    </w:p>
    <w:p w:rsidR="0032552C" w:rsidRDefault="00573F06">
      <w:pPr>
        <w:pStyle w:val="ConsPlusNormal0"/>
        <w:jc w:val="right"/>
      </w:pPr>
      <w:r>
        <w:t>Самарской области</w:t>
      </w:r>
    </w:p>
    <w:p w:rsidR="0032552C" w:rsidRDefault="00573F06">
      <w:pPr>
        <w:pStyle w:val="ConsPlusNormal0"/>
        <w:jc w:val="right"/>
      </w:pPr>
      <w:r>
        <w:t>от 17 августа 2021 г. N 199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</w:pPr>
      <w:bookmarkStart w:id="1" w:name="P32"/>
      <w:bookmarkEnd w:id="1"/>
      <w:r>
        <w:t>ПОРЯДОК</w:t>
      </w:r>
    </w:p>
    <w:p w:rsidR="0032552C" w:rsidRDefault="00573F06">
      <w:pPr>
        <w:pStyle w:val="ConsPlusTitle0"/>
        <w:jc w:val="center"/>
      </w:pPr>
      <w:r>
        <w:t>ПРОВЕДЕНИЯ АУКЦИОНА НА ПРАВО ЗАКЛЮЧЕНИЯ</w:t>
      </w:r>
    </w:p>
    <w:p w:rsidR="0032552C" w:rsidRDefault="00573F06">
      <w:pPr>
        <w:pStyle w:val="ConsPlusTitle0"/>
        <w:jc w:val="center"/>
      </w:pPr>
      <w:r>
        <w:t>ОХОТХОЗЯЙСТВЕННОГО СОГЛАШЕНИЯ</w:t>
      </w:r>
    </w:p>
    <w:p w:rsidR="0032552C" w:rsidRDefault="0032552C">
      <w:pPr>
        <w:pStyle w:val="ConsPlusNormal0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921"/>
        <w:gridCol w:w="113"/>
      </w:tblGrid>
      <w:tr w:rsidR="0032552C">
        <w:tblPrEx>
          <w:tblCellMar>
            <w:top w:w="0" w:type="dxa"/>
            <w:bottom w:w="0" w:type="dxa"/>
          </w:tblCellMar>
        </w:tblPrEx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32552C" w:rsidRDefault="00573F06">
            <w:pPr>
              <w:pStyle w:val="ConsPlusNormal0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32552C" w:rsidRDefault="00573F06">
            <w:pPr>
              <w:pStyle w:val="ConsPlusNormal0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10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      <w:r>
                <w:rPr>
                  <w:color w:val="0000FF"/>
                </w:rPr>
                <w:t>Приказа</w:t>
              </w:r>
            </w:hyperlink>
            <w:r>
              <w:rPr>
                <w:color w:val="392C69"/>
              </w:rPr>
              <w:t xml:space="preserve"> Главного управления организации торгов Самарской области</w:t>
            </w:r>
            <w:proofErr w:type="gramEnd"/>
          </w:p>
          <w:p w:rsidR="0032552C" w:rsidRDefault="00573F06">
            <w:pPr>
              <w:pStyle w:val="ConsPlusNormal0"/>
              <w:jc w:val="center"/>
            </w:pPr>
            <w:r>
              <w:rPr>
                <w:color w:val="392C69"/>
              </w:rPr>
              <w:t>от 08.0</w:t>
            </w:r>
            <w:r>
              <w:rPr>
                <w:color w:val="392C69"/>
              </w:rPr>
              <w:t>4.2022 N 115)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32552C" w:rsidRDefault="0032552C">
            <w:pPr>
              <w:pStyle w:val="ConsPlusNormal0"/>
            </w:pPr>
          </w:p>
        </w:tc>
      </w:tr>
    </w:tbl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1. Общие положения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1.1. </w:t>
      </w:r>
      <w:proofErr w:type="gramStart"/>
      <w:r>
        <w:t xml:space="preserve">Настоящий Порядок проведения аукциона на право заключения </w:t>
      </w:r>
      <w:proofErr w:type="spellStart"/>
      <w:r>
        <w:t>охотхозяйственного</w:t>
      </w:r>
      <w:proofErr w:type="spellEnd"/>
      <w:r>
        <w:t xml:space="preserve"> соглашения (далее - Порядок) разработан в соответствии со </w:t>
      </w:r>
      <w:hyperlink r:id="rId11" w:tooltip="Федеральный закон от 24.07.2009 N 209-ФЗ (ред. от 04.11.2022) &quot;Об охоте и о сохранении охотничьих ресурсов и о внесении изменений в отдельные законодательные акты Российской Федерации&quot; {КонсультантПлюс}">
        <w:r>
          <w:rPr>
            <w:color w:val="0000FF"/>
          </w:rPr>
          <w:t>статьей 28</w:t>
        </w:r>
      </w:hyperlink>
      <w:r>
        <w:t xml:space="preserve"> Федерального закона от 24.07.2009 N 209-ФЗ "Об охоте и сохранении охотничьих ресурсов и о внесении изменений в отдельные законо</w:t>
      </w:r>
      <w:r>
        <w:t xml:space="preserve">дательные акты Российской Федерации" (далее - Закон об охоте) и определяет процедуру, сроки и условия проведения аукциона на право заключения </w:t>
      </w:r>
      <w:proofErr w:type="spellStart"/>
      <w:r>
        <w:t>охотхозяйственного</w:t>
      </w:r>
      <w:proofErr w:type="spellEnd"/>
      <w:r>
        <w:t xml:space="preserve"> соглашения (далее - аукцион).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r>
        <w:lastRenderedPageBreak/>
        <w:t>1.2. Аукцион проводится в электронной форме.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Проведение аукциона </w:t>
      </w:r>
      <w:r>
        <w:t>в электронной форме осуществляется на электронной площадке оператором электронной площадки.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Оператор электронной площадки, электронная площадка, порядок ее функционирования должны соответствовать единым требованиям к операторам электронных площадок, электр</w:t>
      </w:r>
      <w:r>
        <w:t xml:space="preserve">онным площадкам и функционированию электронных площадок, установленным в соответствии с Федеральным </w:t>
      </w:r>
      <w:hyperlink r:id="rId12" w:tooltip="Федеральный закон от 05.04.2013 N 44-ФЗ (ред. от 28.12.2022) &quot;О контрактной системе в сфере закупок товаров, работ, услуг для обеспечения государственных и муниципальных нужд&quot; (с изм. и доп., вступ. в силу с 01.04.2023) {КонсультантПлюс}">
        <w:r>
          <w:rPr>
            <w:color w:val="0000FF"/>
          </w:rPr>
          <w:t>законом</w:t>
        </w:r>
      </w:hyperlink>
      <w:r>
        <w:t xml:space="preserve"> от 05.04.2013 N</w:t>
      </w:r>
      <w:r>
        <w:t xml:space="preserve"> 44-ФЗ "О контрактной системе в сфере закупок товаров, работ, услуг для обеспечения государственных и муниципальных нужд".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1.3. Решение о проведен</w:t>
      </w:r>
      <w:proofErr w:type="gramStart"/>
      <w:r>
        <w:t>ии ау</w:t>
      </w:r>
      <w:proofErr w:type="gramEnd"/>
      <w:r>
        <w:t>кциона принимается департаментом охоты и рыболовства Самарской области (далее - Департамент).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1.4. Органи</w:t>
      </w:r>
      <w:r>
        <w:t>затором аукциона является Главное управление организации торгов Самарской области (далее - Главное управление).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1.5. Предметом аукциона является право заключения </w:t>
      </w:r>
      <w:proofErr w:type="spellStart"/>
      <w:r>
        <w:t>охотхозяйственного</w:t>
      </w:r>
      <w:proofErr w:type="spellEnd"/>
      <w:r>
        <w:t xml:space="preserve"> соглашения на территории Самарской области в отношении охотничьего угодья, </w:t>
      </w:r>
      <w:r>
        <w:t xml:space="preserve">определенного в соответствии со </w:t>
      </w:r>
      <w:hyperlink r:id="rId13" w:tooltip="Постановление Губернатора Самарской области от 11.11.2013 N 283 (ред. от 29.07.2022) &quot;Об утверждении Схемы размещения, использования и охраны охотничьих угодий на территории Самарской области&quot; {КонсультантПлюс}">
        <w:r>
          <w:rPr>
            <w:color w:val="0000FF"/>
          </w:rPr>
          <w:t>Схемой</w:t>
        </w:r>
      </w:hyperlink>
      <w:r>
        <w:t xml:space="preserve"> размещения, использования и охраны охотничьих угодий на территории Самарской обла</w:t>
      </w:r>
      <w:r>
        <w:t>сти, утвержденной постановлением Губернатора Самарской области от 11.11.2013 N 283.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1.6. Аукцион является открытым по составу участников. В аукционе имеют право принимать участие юридические лица и индивидуальные предприниматели.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1.7. Департамент осуществл</w:t>
      </w:r>
      <w:r>
        <w:t>яет следующие функции: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подготавливает и представляет в Главное управление заявку о проведен</w:t>
      </w:r>
      <w:proofErr w:type="gramStart"/>
      <w:r>
        <w:t>ии ау</w:t>
      </w:r>
      <w:proofErr w:type="gramEnd"/>
      <w:r>
        <w:t>кциона, разъяснения положений документации об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принимает решение о проведен</w:t>
      </w:r>
      <w:proofErr w:type="gramStart"/>
      <w:r>
        <w:t>ии ау</w:t>
      </w:r>
      <w:proofErr w:type="gramEnd"/>
      <w:r>
        <w:t>кциона, об отказе от проведения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определяет начальную цену пре</w:t>
      </w:r>
      <w:r>
        <w:t xml:space="preserve">дмета аукциона (начальную цену права на заключение </w:t>
      </w:r>
      <w:proofErr w:type="spellStart"/>
      <w:r>
        <w:t>охотхозяйственного</w:t>
      </w:r>
      <w:proofErr w:type="spellEnd"/>
      <w:r>
        <w:t xml:space="preserve"> соглашения), а также размер денежных средств, вносимых в качестве обеспечения заявки на участие в аукционе, и существенные условия </w:t>
      </w:r>
      <w:proofErr w:type="spellStart"/>
      <w:r>
        <w:t>охотхозяйственного</w:t>
      </w:r>
      <w:proofErr w:type="spellEnd"/>
      <w:r>
        <w:t xml:space="preserve"> соглашения;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 xml:space="preserve">утверждает документацию </w:t>
      </w:r>
      <w:r>
        <w:t xml:space="preserve">об аукционе в части сведений, указанных в </w:t>
      </w:r>
      <w:hyperlink w:anchor="P87" w:tooltip="б) о предмете аукциона, в том числе о местоположении, границах и площади охотничьего угодья, о расположенных в его границах земельных участках и лесных участках, об обременениях указанных земельных участков и лесных участков, об ограничении использования лесов">
        <w:r>
          <w:rPr>
            <w:color w:val="0000FF"/>
          </w:rPr>
          <w:t>подпунктах "б"</w:t>
        </w:r>
      </w:hyperlink>
      <w:r>
        <w:t xml:space="preserve">, </w:t>
      </w:r>
      <w:hyperlink w:anchor="P89" w:tooltip="г) о годовом размере арендной платы за предоставляемые в аренду и расположенные в границах охотничьего угодья земельные участки и лесные участки, рассчитанном исходя из минимальных размеров арендной платы, и об уплачиваемых в течение года сборах за пользование">
        <w:r>
          <w:rPr>
            <w:color w:val="0000FF"/>
          </w:rPr>
          <w:t>"г"</w:t>
        </w:r>
      </w:hyperlink>
      <w:r>
        <w:t xml:space="preserve">, </w:t>
      </w:r>
      <w:hyperlink w:anchor="P91" w:tooltip="е) о начальной цене предмета аукциона (начальной цене права на заключение охотхозяйственного соглашения), которая определяется как сумма годового размера арендной платы за предоставляемые в аренду земельные участки и лесные участки, рассчитанного исходя из мин">
        <w:r>
          <w:rPr>
            <w:color w:val="0000FF"/>
          </w:rPr>
          <w:t>"е"</w:t>
        </w:r>
      </w:hyperlink>
      <w:r>
        <w:t xml:space="preserve">, </w:t>
      </w:r>
      <w:hyperlink w:anchor="P92" w:tooltip="ж) о сроке, в течение которого по результатам аукциона должно быть заключено охотхозяйственное соглашение.">
        <w:r>
          <w:rPr>
            <w:color w:val="0000FF"/>
          </w:rPr>
          <w:t>"ж" пункта 2.6</w:t>
        </w:r>
      </w:hyperlink>
      <w:r>
        <w:t xml:space="preserve">, </w:t>
      </w:r>
      <w:hyperlink w:anchor="P97" w:tooltip="г) размер денежных средств, вносимых в качестве обеспечения заявки на участие в аукционе;">
        <w:r>
          <w:rPr>
            <w:color w:val="0000FF"/>
          </w:rPr>
          <w:t>подпунктах "г"</w:t>
        </w:r>
      </w:hyperlink>
      <w:r>
        <w:t xml:space="preserve">, </w:t>
      </w:r>
      <w:hyperlink w:anchor="P99" w:tooltip="е) реквизиты счета, на который заявитель должен внести в случае признания его победителем аукциона плату за право заключить охотхозяйственное соглашение, срок и порядок внесения указанной платы;">
        <w:r>
          <w:rPr>
            <w:color w:val="0000FF"/>
          </w:rPr>
          <w:t>"е"</w:t>
        </w:r>
      </w:hyperlink>
      <w:r>
        <w:t xml:space="preserve">, </w:t>
      </w:r>
      <w:hyperlink w:anchor="P100" w:tooltip="ж) проект охотхозяйственного соглашения;">
        <w:r>
          <w:rPr>
            <w:color w:val="0000FF"/>
          </w:rPr>
          <w:t>"ж"</w:t>
        </w:r>
      </w:hyperlink>
      <w:r>
        <w:t>,</w:t>
      </w:r>
      <w:proofErr w:type="gramEnd"/>
      <w:r>
        <w:t xml:space="preserve"> </w:t>
      </w:r>
      <w:hyperlink w:anchor="P101" w:tooltip="з) сведения о сроке, в течение которого по результатам аукциона должны быть заключены договоры аренды земельных участков и лесных участков, расположенных в границах охотничьего угодья и находящихся в государственной собственности (если распоряжение такими земе">
        <w:r>
          <w:rPr>
            <w:color w:val="0000FF"/>
          </w:rPr>
          <w:t>"з" пункта 2.7</w:t>
        </w:r>
      </w:hyperlink>
      <w:r>
        <w:t xml:space="preserve"> настоящего Порядка;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направляет в Главное управление список кандидатур для включения в аукционную комиссию, изменения и (или) дополнения в документацию об аукционе по предложению Главного управления или по с</w:t>
      </w:r>
      <w:r>
        <w:t>обственной инициативе.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1.8. Главное управление осуществляет следующие функции: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рассматривает представленную Департаментом заявку на проведение аукциона, документацию об аукционе и другие документы Департамента, необходимые для подготовки и организации пров</w:t>
      </w:r>
      <w:r>
        <w:t>едения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 xml:space="preserve">утверждает документацию об аукционе в части сведений, указанных в </w:t>
      </w:r>
      <w:hyperlink w:anchor="P86" w:tooltip="а) об организаторе аукциона;">
        <w:r>
          <w:rPr>
            <w:color w:val="0000FF"/>
          </w:rPr>
          <w:t>подпунктах "а"</w:t>
        </w:r>
      </w:hyperlink>
      <w:r>
        <w:t xml:space="preserve">, </w:t>
      </w:r>
      <w:hyperlink w:anchor="P88" w:tooltip="в) о месте, датах и времени начала и окончания срока подачи заявок на участие в аукционе и дате проведения аукциона. Срок подачи заявок на участие в аукционе должен составлять не менее чем четырнадцать рабочих дней;">
        <w:r>
          <w:rPr>
            <w:color w:val="0000FF"/>
          </w:rPr>
          <w:t>"в"</w:t>
        </w:r>
      </w:hyperlink>
      <w:r>
        <w:t xml:space="preserve">, </w:t>
      </w:r>
      <w:hyperlink w:anchor="P90" w:tooltip="д) об официальном сайте, на котором размещена документация об аукционе;">
        <w:r>
          <w:rPr>
            <w:color w:val="0000FF"/>
          </w:rPr>
          <w:t>"д" пункта 2.6</w:t>
        </w:r>
      </w:hyperlink>
      <w:r>
        <w:t xml:space="preserve">, </w:t>
      </w:r>
      <w:hyperlink w:anchor="P94" w:tooltip="а) требования к содержанию и форме заявки на участие в аукционе;">
        <w:r>
          <w:rPr>
            <w:color w:val="0000FF"/>
          </w:rPr>
          <w:t>подпунктах "а"</w:t>
        </w:r>
      </w:hyperlink>
      <w:r>
        <w:t xml:space="preserve">, </w:t>
      </w:r>
      <w:hyperlink w:anchor="P95" w:tooltip="б) порядок и срок отзыва заявок на участие в аукционе, порядок внесения изменений в такие заявки;">
        <w:r>
          <w:rPr>
            <w:color w:val="0000FF"/>
          </w:rPr>
          <w:t>"б"</w:t>
        </w:r>
      </w:hyperlink>
      <w:r>
        <w:t xml:space="preserve">, </w:t>
      </w:r>
      <w:hyperlink w:anchor="P96" w:tooltip="в) &quot;шаг аукциона&quot;;">
        <w:r>
          <w:rPr>
            <w:color w:val="0000FF"/>
          </w:rPr>
          <w:t>"в"</w:t>
        </w:r>
      </w:hyperlink>
      <w:r>
        <w:t xml:space="preserve">, </w:t>
      </w:r>
      <w:hyperlink w:anchor="P98" w:tooltip="д) срок и порядок внесения денежных средств, вносимых в качестве обеспечения заявки на участие в аукционе, реквизиты счета для перечисления денежных средств, вносимых в качестве обеспечения заявки на участие в аукционе;">
        <w:r>
          <w:rPr>
            <w:color w:val="0000FF"/>
          </w:rPr>
          <w:t>"д" пункта 2.7</w:t>
        </w:r>
      </w:hyperlink>
      <w:r>
        <w:t xml:space="preserve"> настоящего Порядка;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r>
        <w:t>формирует аукционную комиссию, утверждает ее состав;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размещает на официальном сайте Российской Федерации в информационно-телекоммуникационной сети Интернет (www.</w:t>
      </w:r>
      <w:r>
        <w:t>torgi.gov.ru) (далее - официальный сайт) и электронной площадке извещение о проведен</w:t>
      </w:r>
      <w:proofErr w:type="gramStart"/>
      <w:r>
        <w:t>ии ау</w:t>
      </w:r>
      <w:proofErr w:type="gramEnd"/>
      <w:r>
        <w:t>кциона, документацию об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размещает извещение </w:t>
      </w:r>
      <w:proofErr w:type="gramStart"/>
      <w:r>
        <w:t xml:space="preserve">об отказе от проведения аукциона на основании решения Департамента об </w:t>
      </w:r>
      <w:r>
        <w:lastRenderedPageBreak/>
        <w:t>отказе от проведения</w:t>
      </w:r>
      <w:proofErr w:type="gramEnd"/>
      <w:r>
        <w:t xml:space="preserve">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вносит измен</w:t>
      </w:r>
      <w:r>
        <w:t>ения в размещенное в установленном порядке извещение о проведен</w:t>
      </w:r>
      <w:proofErr w:type="gramStart"/>
      <w:r>
        <w:t>ии ау</w:t>
      </w:r>
      <w:proofErr w:type="gramEnd"/>
      <w:r>
        <w:t>кциона, документацию об аукционе на основании обращения Департамента;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размещает на официальном сайте, электронной площадке разъяснения положений извещения о проведен</w:t>
      </w:r>
      <w:proofErr w:type="gramStart"/>
      <w:r>
        <w:t>ии ау</w:t>
      </w:r>
      <w:proofErr w:type="gramEnd"/>
      <w:r>
        <w:t>кциона, документац</w:t>
      </w:r>
      <w:r>
        <w:t>ии об аукционе, подготовленные Департаментом по поступившим запросам;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проводит подготовку заседания аукционной комиссии;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направляет членам аукционной комиссии извещение о проведении заседания аукционной комиссии не </w:t>
      </w:r>
      <w:proofErr w:type="gramStart"/>
      <w:r>
        <w:t>позднее</w:t>
      </w:r>
      <w:proofErr w:type="gramEnd"/>
      <w:r>
        <w:t xml:space="preserve"> чем за два рабочих дня до проведе</w:t>
      </w:r>
      <w:r>
        <w:t>ния заседания с указанием места и точного времени его проведения, а также предмета заседания;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обеспечивает работу аукционной комиссии;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размещает на официальном сайте, электронной площадке информацию о результатах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представляет участнику аукциона, </w:t>
      </w:r>
      <w:r>
        <w:t>направившему запрос о разъяснении результатов аукциона, в течение двух рабочих дней со дня поступления такого запроса соответствующие разъяснения;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оформляет, комплектует и осуществляет ответственное хранение документации по проводимым аукционам;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направляет в Департамент протокол приема заявок на участие в аукционе, протокол о результатах аукциона.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2. Документация об аукционе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2.1. </w:t>
      </w:r>
      <w:proofErr w:type="gramStart"/>
      <w:r>
        <w:t xml:space="preserve">Документация об аукционе разрабатывается Департаментом и утверждается в части сведений, указанных в </w:t>
      </w:r>
      <w:hyperlink w:anchor="P87" w:tooltip="б) о предмете аукциона, в том числе о местоположении, границах и площади охотничьего угодья, о расположенных в его границах земельных участках и лесных участках, об обременениях указанных земельных участков и лесных участков, об ограничении использования лесов">
        <w:r>
          <w:rPr>
            <w:color w:val="0000FF"/>
          </w:rPr>
          <w:t>подпунктах "б"</w:t>
        </w:r>
      </w:hyperlink>
      <w:r>
        <w:t xml:space="preserve">, </w:t>
      </w:r>
      <w:hyperlink w:anchor="P89" w:tooltip="г) о годовом размере арендной платы за предоставляемые в аренду и расположенные в границах охотничьего угодья земельные участки и лесные участки, рассчитанном исходя из минимальных размеров арендной платы, и об уплачиваемых в течение года сборах за пользование">
        <w:r>
          <w:rPr>
            <w:color w:val="0000FF"/>
          </w:rPr>
          <w:t>"г"</w:t>
        </w:r>
      </w:hyperlink>
      <w:r>
        <w:t xml:space="preserve">, </w:t>
      </w:r>
      <w:hyperlink w:anchor="P91" w:tooltip="е) о начальной цене предмета аукциона (начальной цене права на заключение охотхозяйственного соглашения), которая определяется как сумма годового размера арендной платы за предоставляемые в аренду земельные участки и лесные участки, рассчитанного исходя из мин">
        <w:r>
          <w:rPr>
            <w:color w:val="0000FF"/>
          </w:rPr>
          <w:t>"е"</w:t>
        </w:r>
      </w:hyperlink>
      <w:r>
        <w:t xml:space="preserve">, </w:t>
      </w:r>
      <w:hyperlink w:anchor="P92" w:tooltip="ж) о сроке, в течение которого по результатам аукциона должно быть заключено охотхозяйственное соглашение.">
        <w:r>
          <w:rPr>
            <w:color w:val="0000FF"/>
          </w:rPr>
          <w:t>"</w:t>
        </w:r>
        <w:r>
          <w:rPr>
            <w:color w:val="0000FF"/>
          </w:rPr>
          <w:t>ж" пункта 2.6</w:t>
        </w:r>
      </w:hyperlink>
      <w:r>
        <w:t xml:space="preserve">, </w:t>
      </w:r>
      <w:hyperlink w:anchor="P97" w:tooltip="г) размер денежных средств, вносимых в качестве обеспечения заявки на участие в аукционе;">
        <w:r>
          <w:rPr>
            <w:color w:val="0000FF"/>
          </w:rPr>
          <w:t>подпунктах "г"</w:t>
        </w:r>
      </w:hyperlink>
      <w:r>
        <w:t xml:space="preserve">, </w:t>
      </w:r>
      <w:hyperlink w:anchor="P99" w:tooltip="е) реквизиты счета, на который заявитель должен внести в случае признания его победителем аукциона плату за право заключить охотхозяйственное соглашение, срок и порядок внесения указанной платы;">
        <w:r>
          <w:rPr>
            <w:color w:val="0000FF"/>
          </w:rPr>
          <w:t>"е"</w:t>
        </w:r>
      </w:hyperlink>
      <w:r>
        <w:t xml:space="preserve">, </w:t>
      </w:r>
      <w:hyperlink w:anchor="P100" w:tooltip="ж) проект охотхозяйственного соглашения;">
        <w:r>
          <w:rPr>
            <w:color w:val="0000FF"/>
          </w:rPr>
          <w:t>"ж"</w:t>
        </w:r>
      </w:hyperlink>
      <w:r>
        <w:t>,</w:t>
      </w:r>
      <w:proofErr w:type="gramEnd"/>
      <w:r>
        <w:t xml:space="preserve"> </w:t>
      </w:r>
      <w:hyperlink w:anchor="P101" w:tooltip="з) сведения о сроке, в течение которого по результатам аукциона должны быть заключены договоры аренды земельных участков и лесных участков, расположенных в границах охотничьего угодья и находящихся в государственной собственности (если распоряжение такими земе">
        <w:r>
          <w:rPr>
            <w:color w:val="0000FF"/>
          </w:rPr>
          <w:t>"з" пункта 2.7</w:t>
        </w:r>
      </w:hyperlink>
      <w:r>
        <w:t xml:space="preserve"> настоящего Порядка.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2.2. Департамент направляет в Главное управление заявку о проведен</w:t>
      </w:r>
      <w:proofErr w:type="gramStart"/>
      <w:r>
        <w:t>ии ау</w:t>
      </w:r>
      <w:proofErr w:type="gramEnd"/>
      <w:r>
        <w:t>кциона, к которой должны быть приложены следующие документы: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решение о проведен</w:t>
      </w:r>
      <w:proofErr w:type="gramStart"/>
      <w:r>
        <w:t>ии ау</w:t>
      </w:r>
      <w:proofErr w:type="gramEnd"/>
      <w:r>
        <w:t>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 xml:space="preserve">документация об аукционе в части сведений, указанных в </w:t>
      </w:r>
      <w:hyperlink w:anchor="P87" w:tooltip="б) о предмете аукциона, в том числе о местоположении, границах и площади охотничьего угодья, о расположенных в его границах земельных участках и лесных участках, об обременениях указанных земельных участков и лесных участков, об ограничении использования лесов">
        <w:r>
          <w:rPr>
            <w:color w:val="0000FF"/>
          </w:rPr>
          <w:t>подпунктах "б"</w:t>
        </w:r>
      </w:hyperlink>
      <w:r>
        <w:t xml:space="preserve">, </w:t>
      </w:r>
      <w:hyperlink w:anchor="P89" w:tooltip="г) о годовом размере арендной платы за предоставляемые в аренду и расположенные в границах охотничьего угодья земельные участки и лесные участки, рассчитанном исходя из минимальных размеров арендной платы, и об уплачиваемых в течение года сборах за пользование">
        <w:r>
          <w:rPr>
            <w:color w:val="0000FF"/>
          </w:rPr>
          <w:t>"г"</w:t>
        </w:r>
      </w:hyperlink>
      <w:r>
        <w:t xml:space="preserve">, </w:t>
      </w:r>
      <w:hyperlink w:anchor="P91" w:tooltip="е) о начальной цене предмета аукциона (начальной цене права на заключение охотхозяйственного соглашения), которая определяется как сумма годового размера арендной платы за предоставляемые в аренду земельные участки и лесные участки, рассчитанного исходя из мин">
        <w:r>
          <w:rPr>
            <w:color w:val="0000FF"/>
          </w:rPr>
          <w:t>"е"</w:t>
        </w:r>
      </w:hyperlink>
      <w:r>
        <w:t xml:space="preserve">, </w:t>
      </w:r>
      <w:hyperlink w:anchor="P92" w:tooltip="ж) о сроке, в течение которого по результатам аукциона должно быть заключено охотхозяйственное соглашение.">
        <w:r>
          <w:rPr>
            <w:color w:val="0000FF"/>
          </w:rPr>
          <w:t>"</w:t>
        </w:r>
        <w:r>
          <w:rPr>
            <w:color w:val="0000FF"/>
          </w:rPr>
          <w:t>ж" пункта 2.6</w:t>
        </w:r>
      </w:hyperlink>
      <w:r>
        <w:t xml:space="preserve">, </w:t>
      </w:r>
      <w:hyperlink w:anchor="P97" w:tooltip="г) размер денежных средств, вносимых в качестве обеспечения заявки на участие в аукционе;">
        <w:r>
          <w:rPr>
            <w:color w:val="0000FF"/>
          </w:rPr>
          <w:t>подпунктах "г"</w:t>
        </w:r>
      </w:hyperlink>
      <w:r>
        <w:t xml:space="preserve">, </w:t>
      </w:r>
      <w:hyperlink w:anchor="P99" w:tooltip="е) реквизиты счета, на который заявитель должен внести в случае признания его победителем аукциона плату за право заключить охотхозяйственное соглашение, срок и порядок внесения указанной платы;">
        <w:r>
          <w:rPr>
            <w:color w:val="0000FF"/>
          </w:rPr>
          <w:t>"е"</w:t>
        </w:r>
      </w:hyperlink>
      <w:r>
        <w:t xml:space="preserve">, </w:t>
      </w:r>
      <w:hyperlink w:anchor="P100" w:tooltip="ж) проект охотхозяйственного соглашения;">
        <w:r>
          <w:rPr>
            <w:color w:val="0000FF"/>
          </w:rPr>
          <w:t>"ж"</w:t>
        </w:r>
      </w:hyperlink>
      <w:r>
        <w:t>,</w:t>
      </w:r>
      <w:proofErr w:type="gramEnd"/>
      <w:r>
        <w:t xml:space="preserve"> </w:t>
      </w:r>
      <w:hyperlink w:anchor="P101" w:tooltip="з) сведения о сроке, в течение которого по результатам аукциона должны быть заключены договоры аренды земельных участков и лесных участков, расположенных в границах охотничьего угодья и находящихся в государственной собственности (если распоряжение такими земе">
        <w:r>
          <w:rPr>
            <w:color w:val="0000FF"/>
          </w:rPr>
          <w:t>"з" пункта 2.7</w:t>
        </w:r>
      </w:hyperlink>
      <w:r>
        <w:t xml:space="preserve"> настоящего Порядка;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список кандидатур для включения в аукционную комиссию.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2.3. Главное управление рассматривает поступившую от Департамента заявку в течение десяти рабочих дней со дня ее поступления в Главное управление.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 случае выявления несоответствия</w:t>
      </w:r>
      <w:r>
        <w:t xml:space="preserve"> отдельных положений разработанной и утвержденной Департаментом документации об аукционе требованиям действующего законодательства, настоящего Порядка Главное управление возвращает Департаменту документацию об аукционе и иные документы с указанием причин в</w:t>
      </w:r>
      <w:r>
        <w:t>озврата в течение десяти рабочих дней со дня ее поступления.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>В случае если документация об аукционе представлена в полном объеме и в соответствии с требованиями действующего законодательства, настоящего Порядка, Главное управление утверждает документацию о</w:t>
      </w:r>
      <w:r>
        <w:t xml:space="preserve">б аукционе в части сведений, указанных в </w:t>
      </w:r>
      <w:hyperlink w:anchor="P86" w:tooltip="а) об организаторе аукциона;">
        <w:r>
          <w:rPr>
            <w:color w:val="0000FF"/>
          </w:rPr>
          <w:t>подпунктах "а"</w:t>
        </w:r>
      </w:hyperlink>
      <w:r>
        <w:t xml:space="preserve">, </w:t>
      </w:r>
      <w:hyperlink w:anchor="P88" w:tooltip="в) о месте, датах и времени начала и окончания срока подачи заявок на участие в аукционе и дате проведения аукциона. Срок подачи заявок на участие в аукционе должен составлять не менее чем четырнадцать рабочих дней;">
        <w:r>
          <w:rPr>
            <w:color w:val="0000FF"/>
          </w:rPr>
          <w:t>"в"</w:t>
        </w:r>
      </w:hyperlink>
      <w:r>
        <w:t xml:space="preserve">, </w:t>
      </w:r>
      <w:hyperlink w:anchor="P90" w:tooltip="д) об официальном сайте, на котором размещена документация об аукционе;">
        <w:r>
          <w:rPr>
            <w:color w:val="0000FF"/>
          </w:rPr>
          <w:t>"д" пункта 2.6</w:t>
        </w:r>
      </w:hyperlink>
      <w:r>
        <w:t xml:space="preserve">, </w:t>
      </w:r>
      <w:hyperlink w:anchor="P94" w:tooltip="а) требования к содержанию и форме заявки на участие в аукционе;">
        <w:r>
          <w:rPr>
            <w:color w:val="0000FF"/>
          </w:rPr>
          <w:t>подпунктах "а"</w:t>
        </w:r>
      </w:hyperlink>
      <w:r>
        <w:t xml:space="preserve">, </w:t>
      </w:r>
      <w:hyperlink w:anchor="P95" w:tooltip="б) порядок и срок отзыва заявок на участие в аукционе, порядок внесения изменений в такие заявки;">
        <w:r>
          <w:rPr>
            <w:color w:val="0000FF"/>
          </w:rPr>
          <w:t>"б"</w:t>
        </w:r>
      </w:hyperlink>
      <w:r>
        <w:t xml:space="preserve">, </w:t>
      </w:r>
      <w:hyperlink w:anchor="P96" w:tooltip="в) &quot;шаг аукциона&quot;;">
        <w:r>
          <w:rPr>
            <w:color w:val="0000FF"/>
          </w:rPr>
          <w:t>"в"</w:t>
        </w:r>
      </w:hyperlink>
      <w:r>
        <w:t xml:space="preserve">, </w:t>
      </w:r>
      <w:hyperlink w:anchor="P98" w:tooltip="д) срок и порядок внесения денежных средств, вносимых в качестве обеспечения заявки на участие в аукционе, реквизиты счета для перечисления денежных средств, вносимых в качестве обеспечения заявки на участие в аукционе;">
        <w:r>
          <w:rPr>
            <w:color w:val="0000FF"/>
          </w:rPr>
          <w:t>"д" пункта 2.7</w:t>
        </w:r>
      </w:hyperlink>
      <w:r>
        <w:t xml:space="preserve"> настоящего Порядка, и осуществляет подготовку к проведению аукциона.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2.4. </w:t>
      </w:r>
      <w:proofErr w:type="gramStart"/>
      <w:r>
        <w:t xml:space="preserve">Департамент несет ответственность, предусмотренную действующим законодательством, за утвержденную им документацию об </w:t>
      </w:r>
      <w:r>
        <w:t xml:space="preserve">аукционе в части сведений, указанных в </w:t>
      </w:r>
      <w:hyperlink w:anchor="P87" w:tooltip="б) о предмете аукциона, в том числе о местоположении, границах и площади охотничьего угодья, о расположенных в его границах земельных участках и лесных участках, об обременениях указанных земельных участков и лесных участков, об ограничении использования лесов">
        <w:r>
          <w:rPr>
            <w:color w:val="0000FF"/>
          </w:rPr>
          <w:t>подпунктах "б"</w:t>
        </w:r>
      </w:hyperlink>
      <w:r>
        <w:t xml:space="preserve">, </w:t>
      </w:r>
      <w:hyperlink w:anchor="P89" w:tooltip="г) о годовом размере арендной платы за предоставляемые в аренду и расположенные в границах охотничьего угодья земельные участки и лесные участки, рассчитанном исходя из минимальных размеров арендной платы, и об уплачиваемых в течение года сборах за пользование">
        <w:r>
          <w:rPr>
            <w:color w:val="0000FF"/>
          </w:rPr>
          <w:t>"г"</w:t>
        </w:r>
      </w:hyperlink>
      <w:r>
        <w:t xml:space="preserve">, </w:t>
      </w:r>
      <w:hyperlink w:anchor="P91" w:tooltip="е) о начальной цене предмета аукциона (начальной цене права на заключение охотхозяйственного соглашения), которая определяется как сумма годового размера арендной платы за предоставляемые в аренду земельные участки и лесные участки, рассчитанного исходя из мин">
        <w:r>
          <w:rPr>
            <w:color w:val="0000FF"/>
          </w:rPr>
          <w:t>"е"</w:t>
        </w:r>
      </w:hyperlink>
      <w:r>
        <w:t xml:space="preserve">, </w:t>
      </w:r>
      <w:hyperlink w:anchor="P92" w:tooltip="ж) о сроке, в течение которого по результатам аукциона должно быть заключено охотхозяйственное соглашение.">
        <w:r>
          <w:rPr>
            <w:color w:val="0000FF"/>
          </w:rPr>
          <w:t>"ж" пункта 2.6</w:t>
        </w:r>
      </w:hyperlink>
      <w:r>
        <w:t xml:space="preserve">, </w:t>
      </w:r>
      <w:hyperlink w:anchor="P97" w:tooltip="г) размер денежных средств, вносимых в качестве обеспечения заявки на участие в аукционе;">
        <w:r>
          <w:rPr>
            <w:color w:val="0000FF"/>
          </w:rPr>
          <w:t>подпунктах "г"</w:t>
        </w:r>
      </w:hyperlink>
      <w:r>
        <w:t xml:space="preserve">, </w:t>
      </w:r>
      <w:hyperlink w:anchor="P99" w:tooltip="е) реквизиты счета, на который заявитель должен внести в случае признания его победителем аукциона плату за право заключить охотхозяйственное соглашение, срок и порядок внесения указанной платы;">
        <w:r>
          <w:rPr>
            <w:color w:val="0000FF"/>
          </w:rPr>
          <w:t>"е"</w:t>
        </w:r>
      </w:hyperlink>
      <w:r>
        <w:t xml:space="preserve">, </w:t>
      </w:r>
      <w:hyperlink w:anchor="P100" w:tooltip="ж) проект охотхозяйственного соглашения;">
        <w:r>
          <w:rPr>
            <w:color w:val="0000FF"/>
          </w:rPr>
          <w:t>"ж"</w:t>
        </w:r>
      </w:hyperlink>
      <w:r>
        <w:t>,</w:t>
      </w:r>
      <w:proofErr w:type="gramEnd"/>
      <w:r>
        <w:t xml:space="preserve"> </w:t>
      </w:r>
      <w:hyperlink w:anchor="P101" w:tooltip="з) сведения о сроке, в течение которого по результатам аукциона должны быть заключены договоры аренды земельных участков и лесных участков, расположенных в границах охотничьего угодья и находящихся в государственной собственности (если распоряжение такими земе">
        <w:r>
          <w:rPr>
            <w:color w:val="0000FF"/>
          </w:rPr>
          <w:t>"з" пункта 2.7</w:t>
        </w:r>
      </w:hyperlink>
      <w:r>
        <w:t xml:space="preserve"> настоящего Порядка.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lastRenderedPageBreak/>
        <w:t xml:space="preserve">Главное управление несет ответственность, предусмотренную действующим законодательством, за утвержденную им документацию об аукционе в части сведений, указанных в </w:t>
      </w:r>
      <w:hyperlink w:anchor="P86" w:tooltip="а) об организаторе аукциона;">
        <w:r>
          <w:rPr>
            <w:color w:val="0000FF"/>
          </w:rPr>
          <w:t>подпунктах "а"</w:t>
        </w:r>
      </w:hyperlink>
      <w:r>
        <w:t xml:space="preserve">, </w:t>
      </w:r>
      <w:hyperlink w:anchor="P88" w:tooltip="в) о месте, датах и времени начала и окончания срока подачи заявок на участие в аукционе и дате проведения аукциона. Срок подачи заявок на участие в аукционе должен составлять не менее чем четырнадцать рабочих дней;">
        <w:r>
          <w:rPr>
            <w:color w:val="0000FF"/>
          </w:rPr>
          <w:t>"в"</w:t>
        </w:r>
      </w:hyperlink>
      <w:r>
        <w:t xml:space="preserve">, </w:t>
      </w:r>
      <w:hyperlink w:anchor="P90" w:tooltip="д) об официальном сайте, на котором размещена документация об аукционе;">
        <w:r>
          <w:rPr>
            <w:color w:val="0000FF"/>
          </w:rPr>
          <w:t>"д" пункта 2.6</w:t>
        </w:r>
      </w:hyperlink>
      <w:r>
        <w:t xml:space="preserve">, </w:t>
      </w:r>
      <w:hyperlink w:anchor="P94" w:tooltip="а) требования к содержанию и форме заявки на участие в аукционе;">
        <w:r>
          <w:rPr>
            <w:color w:val="0000FF"/>
          </w:rPr>
          <w:t>подпунктах "а"</w:t>
        </w:r>
      </w:hyperlink>
      <w:r>
        <w:t xml:space="preserve">, </w:t>
      </w:r>
      <w:hyperlink w:anchor="P95" w:tooltip="б) порядок и срок отзыва заявок на участие в аукционе, порядок внесения изменений в такие заявки;">
        <w:r>
          <w:rPr>
            <w:color w:val="0000FF"/>
          </w:rPr>
          <w:t>"б"</w:t>
        </w:r>
      </w:hyperlink>
      <w:r>
        <w:t xml:space="preserve">, </w:t>
      </w:r>
      <w:hyperlink w:anchor="P96" w:tooltip="в) &quot;шаг аукциона&quot;;">
        <w:r>
          <w:rPr>
            <w:color w:val="0000FF"/>
          </w:rPr>
          <w:t>"в"</w:t>
        </w:r>
      </w:hyperlink>
      <w:r>
        <w:t xml:space="preserve">, </w:t>
      </w:r>
      <w:hyperlink w:anchor="P98" w:tooltip="д) срок и порядок внесения денежных средств, вносимых в качестве обеспечения заявки на участие в аукционе, реквизиты счета для перечисления денежных средств, вносимых в качестве обеспечения заявки на участие в аукционе;">
        <w:r>
          <w:rPr>
            <w:color w:val="0000FF"/>
          </w:rPr>
          <w:t>"д" пун</w:t>
        </w:r>
        <w:r>
          <w:rPr>
            <w:color w:val="0000FF"/>
          </w:rPr>
          <w:t>кта 2.7</w:t>
        </w:r>
      </w:hyperlink>
      <w:r>
        <w:t xml:space="preserve"> настоящего Порядка.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r>
        <w:t>2.5. Не менее чем за двадцать пять рабочих дней до дня проведения аукциона Главное управление размещает извещение о проведен</w:t>
      </w:r>
      <w:proofErr w:type="gramStart"/>
      <w:r>
        <w:t>ии ау</w:t>
      </w:r>
      <w:proofErr w:type="gramEnd"/>
      <w:r>
        <w:t>кциона, документацию об аукционе на официальном сайте, а также на электронной площадке.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Информация </w:t>
      </w:r>
      <w:r>
        <w:t>о проведен</w:t>
      </w:r>
      <w:proofErr w:type="gramStart"/>
      <w:r>
        <w:t>ии ау</w:t>
      </w:r>
      <w:proofErr w:type="gramEnd"/>
      <w:r>
        <w:t>кциона должна быть доступна для ознакомления всем заинтересованным лицам без взимания платы.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2.6. Извещение о проведен</w:t>
      </w:r>
      <w:proofErr w:type="gramStart"/>
      <w:r>
        <w:t>ии ау</w:t>
      </w:r>
      <w:proofErr w:type="gramEnd"/>
      <w:r>
        <w:t>кциона должно содержать сведения: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2" w:name="P86"/>
      <w:bookmarkEnd w:id="2"/>
      <w:r>
        <w:t>а) об организаторе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3" w:name="P87"/>
      <w:bookmarkEnd w:id="3"/>
      <w:proofErr w:type="gramStart"/>
      <w:r>
        <w:t>б) о предмете аукциона, в том числе о местоположении, г</w:t>
      </w:r>
      <w:r>
        <w:t>раницах и площади охотничьего угодья, о расположенных в его границах земельных участках и лесных участках, об обременениях указанных земельных участков и лесных участков, об ограничении использования лесов и других природных ресурсов, о параметрах осуществ</w:t>
      </w:r>
      <w:r>
        <w:t>ления охоты;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bookmarkStart w:id="4" w:name="P88"/>
      <w:bookmarkEnd w:id="4"/>
      <w:r>
        <w:t>в) о месте, датах и времени начала и окончания срока подачи заявок на участие в аукционе и дате проведения аукциона. Срок подачи заявок на участие в аукционе должен составлять не менее чем четырнадцать рабочих дней;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5" w:name="P89"/>
      <w:bookmarkEnd w:id="5"/>
      <w:proofErr w:type="gramStart"/>
      <w:r>
        <w:t>г) о годовом размере арендн</w:t>
      </w:r>
      <w:r>
        <w:t>ой платы за предоставляемые в аренду и расположенные в границах охотничьего угодья земельные участки и лесные участки, рассчитанном исходя из минимальных размеров арендной платы, и об уплачиваемых в течение года сборах за пользование объектами животного ми</w:t>
      </w:r>
      <w:r>
        <w:t>ра в соответствии с законодательством Российской Федерации о налогах и сборах;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bookmarkStart w:id="6" w:name="P90"/>
      <w:bookmarkEnd w:id="6"/>
      <w:r>
        <w:t>д) об официальном сайте, на котором размещена документация об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7" w:name="P91"/>
      <w:bookmarkEnd w:id="7"/>
      <w:proofErr w:type="gramStart"/>
      <w:r>
        <w:t xml:space="preserve">е) о начальной цене предмета аукциона (начальной цене права на заключение </w:t>
      </w:r>
      <w:proofErr w:type="spellStart"/>
      <w:r>
        <w:t>охотхозяйственного</w:t>
      </w:r>
      <w:proofErr w:type="spellEnd"/>
      <w:r>
        <w:t xml:space="preserve"> соглашения),</w:t>
      </w:r>
      <w:r>
        <w:t xml:space="preserve"> которая определяется как сумма годового размера арендной платы за предоставляемые в аренду земельные участки и лесные участки, рассчитанного исходя из минимальных размеров арендной платы по договорам аренды земельных участков и лесных участков, и произвед</w:t>
      </w:r>
      <w:r>
        <w:t>ения ставок сбора за пользование объектами животного мира и квот добычи охотничьих ресурсов за</w:t>
      </w:r>
      <w:proofErr w:type="gramEnd"/>
      <w:r>
        <w:t xml:space="preserve"> предшествующий год, а в случае их отсутствия - нормативов допустимого изъятия охотничьих ресурсов за предшествующий год или норм допустимой добычи охотничьих рес</w:t>
      </w:r>
      <w:r>
        <w:t>урсов за предшествующий год;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8" w:name="P92"/>
      <w:bookmarkEnd w:id="8"/>
      <w:r>
        <w:t xml:space="preserve">ж) о сроке, в течение которого по результатам аукциона должно быть заключено </w:t>
      </w:r>
      <w:proofErr w:type="spellStart"/>
      <w:r>
        <w:t>охотхозяйственное</w:t>
      </w:r>
      <w:proofErr w:type="spellEnd"/>
      <w:r>
        <w:t xml:space="preserve"> соглашение.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2.7. Документация об аукционе наряду со сведениями, указанными в извещении о проведен</w:t>
      </w:r>
      <w:proofErr w:type="gramStart"/>
      <w:r>
        <w:t>ии ау</w:t>
      </w:r>
      <w:proofErr w:type="gramEnd"/>
      <w:r>
        <w:t>кциона, должна содержать: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9" w:name="P94"/>
      <w:bookmarkEnd w:id="9"/>
      <w:r>
        <w:t>а) требования к содержанию и форме заявки на участие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0" w:name="P95"/>
      <w:bookmarkEnd w:id="10"/>
      <w:r>
        <w:t>б) порядок и срок отзыва заявок на участие в аукционе, порядок внесения изменений в такие заявки;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1" w:name="P96"/>
      <w:bookmarkEnd w:id="11"/>
      <w:r>
        <w:t>в) "шаг аукциона";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2" w:name="P97"/>
      <w:bookmarkEnd w:id="12"/>
      <w:r>
        <w:t>г) размер денежных средств, вносимых в качестве обеспечения заявки на учас</w:t>
      </w:r>
      <w:r>
        <w:t>тие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3" w:name="P98"/>
      <w:bookmarkEnd w:id="13"/>
      <w:r>
        <w:t>д) срок и порядок внесения денежных средств, вносимых в качестве обеспечения заявки на участие в аукционе, реквизиты счета для перечисления денежных средств, вносимых в качестве обеспечения заявки на участие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4" w:name="P99"/>
      <w:bookmarkEnd w:id="14"/>
      <w:r>
        <w:t xml:space="preserve">е) реквизиты счета, </w:t>
      </w:r>
      <w:r>
        <w:t xml:space="preserve">на который заявитель должен внести в случае признания его победителем аукциона плату за право заключить </w:t>
      </w:r>
      <w:proofErr w:type="spellStart"/>
      <w:r>
        <w:t>охотхозяйственное</w:t>
      </w:r>
      <w:proofErr w:type="spellEnd"/>
      <w:r>
        <w:t xml:space="preserve"> соглашение, срок и порядок внесения указанной </w:t>
      </w:r>
      <w:r>
        <w:lastRenderedPageBreak/>
        <w:t>платы;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5" w:name="P100"/>
      <w:bookmarkEnd w:id="15"/>
      <w:r>
        <w:t xml:space="preserve">ж) проект </w:t>
      </w:r>
      <w:proofErr w:type="spellStart"/>
      <w:r>
        <w:t>охотхозяйственного</w:t>
      </w:r>
      <w:proofErr w:type="spellEnd"/>
      <w:r>
        <w:t xml:space="preserve"> соглашения;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6" w:name="P101"/>
      <w:bookmarkEnd w:id="16"/>
      <w:r>
        <w:t xml:space="preserve">з) сведения о сроке, в течение которого </w:t>
      </w:r>
      <w:r>
        <w:t>по результатам аукциона должны быть заключены договоры аренды земельных участков и лесных участков, расположенных в границах охотничьего угодья и находящихся в государственной собственности (если распоряжение такими земельными участками и лесными участками</w:t>
      </w:r>
      <w:r>
        <w:t xml:space="preserve"> осуществляется органами исполнительной власти Самарской области).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2.8. Департамент, Главное управление вправе принять решение о внесении изменений в извещение о проведении аукциона, документацию об аукционе не </w:t>
      </w:r>
      <w:proofErr w:type="gramStart"/>
      <w:r>
        <w:t>позднее</w:t>
      </w:r>
      <w:proofErr w:type="gramEnd"/>
      <w:r>
        <w:t xml:space="preserve"> чем за пять рабочих дней до даты окон</w:t>
      </w:r>
      <w:r>
        <w:t>чания срока подачи заявок на участие в аукционе. При этом срок подачи заявок на участие в аукционе должен быть продлен так, чтобы со дня размещения на официальном сайте, электронной площадке изменений, внесенных в извещение о проведен</w:t>
      </w:r>
      <w:proofErr w:type="gramStart"/>
      <w:r>
        <w:t>ии ау</w:t>
      </w:r>
      <w:proofErr w:type="gramEnd"/>
      <w:r>
        <w:t>кциона, документа</w:t>
      </w:r>
      <w:r>
        <w:t>цию об аукционе, до даты окончания подачи заявок на участие в аукционе такой срок составлял не менее чем четырнадцать рабочих дней.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2.9. При поступлении запроса о разъяснении положений извещения о проведении аукциона, документации об аукционе, если указанн</w:t>
      </w:r>
      <w:r>
        <w:t xml:space="preserve">ый запрос поступил не </w:t>
      </w:r>
      <w:proofErr w:type="gramStart"/>
      <w:r>
        <w:t>позднее</w:t>
      </w:r>
      <w:proofErr w:type="gramEnd"/>
      <w:r>
        <w:t xml:space="preserve"> чем за пять рабочих дней до дня окончания срока подачи заявок на участие в аукционе, Главное управление в течение одного рабочего дня после поступления запроса направляет его в электронном виде в Департамент.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Департамент в теч</w:t>
      </w:r>
      <w:r>
        <w:t>ение двух рабочих дней со дня получения запроса направляет подготовленные разъяснения положений извещения о проведен</w:t>
      </w:r>
      <w:proofErr w:type="gramStart"/>
      <w:r>
        <w:t>ии ау</w:t>
      </w:r>
      <w:proofErr w:type="gramEnd"/>
      <w:r>
        <w:t>кциона, документации об аукционе в Главное управление в электронном виде.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Главное управление в течение одного рабочего дня после поступ</w:t>
      </w:r>
      <w:r>
        <w:t>ления от Департамента разъяснений положений извещения о проведен</w:t>
      </w:r>
      <w:proofErr w:type="gramStart"/>
      <w:r>
        <w:t>ии ау</w:t>
      </w:r>
      <w:proofErr w:type="gramEnd"/>
      <w:r>
        <w:t>кциона, документации об аукционе размещает их на официальном сайте, электронной площадке.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3. Аукционная комиссия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>3.1. Для осуществления предусмотренных настоящим Порядком действий форми</w:t>
      </w:r>
      <w:r>
        <w:t>руется аукционная комиссия.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3.2. Главное управление формирует аукционную комиссию по представлению Департамента в составе не менее пяти членов аукционной комиссии и утверждает ее состав путем издания приказа Главного управления.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 аукционную комиссию по со</w:t>
      </w:r>
      <w:r>
        <w:t>гласованию могут включаться представители органов исполнительной власти Самарской области, а также специалисты, эксперты соответствующего профиля.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>Членами аукционной комиссии не могут быть физические лица, лично заинтересованные в результатах аукциона, в т</w:t>
      </w:r>
      <w:r>
        <w:t>ом числе физические лица, подавшие заявки на участие в аукционе или состоящие в штате организаций, подавших заявки на участие в аукционе, а также физические лица, являющиеся аффилированными лицами по отношению к заявителям, в том числе физические лица, явл</w:t>
      </w:r>
      <w:r>
        <w:t>яющиеся участниками (акционерами) этих организаций, членами их органов управления</w:t>
      </w:r>
      <w:proofErr w:type="gramEnd"/>
      <w:r>
        <w:t xml:space="preserve"> и их кредиторами. В случае выявления в составе аукционной комиссии указанных лиц Главное управление незамедлительно обязано заменить их физическими лицами, которые лично не з</w:t>
      </w:r>
      <w:r>
        <w:t>аинтересованы в результатах аукциона и на которых не способны оказывать влияние заявители.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3.3. Аукционная комиссия: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осуществляет рассмотрение заявок на участие в аукционе на соответствие требованиям, установленным документацией об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на основании р</w:t>
      </w:r>
      <w:r>
        <w:t>ассмотрения заявок на участие в аукционе принимает решение о допуске к участию в аукционе заявителя и о признании заявителя, подавшего заявку на участие в аукционе, участником аукциона или об отказе в допуске такого заявителя к участию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lastRenderedPageBreak/>
        <w:t>оформляе</w:t>
      </w:r>
      <w:r>
        <w:t>т протокол приема заявок на участие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оформляет протокол о результатах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3.4. Заседание аукционной комиссии правомочно, если на нем присутствует не менее пятидесяти процентов от общего числа ее членов. Принятие решения членами аукционной </w:t>
      </w:r>
      <w:r>
        <w:t>комиссии путем заочного голосования, а также делегирование ими своих полномочий иным лицам не допускается. Решения аукционной комиссии принимаются большинством голосов членов аукционной комиссии.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4. Порядок подачи заявок на участие в аукционе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>4.1. Заявителями могут быть юридические лица, индивидуальные предприниматели.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Для обеспечения доступа к участию в аукционе заявителям необходимо пройти процедуру регистрации на электронной площадке. Регистрация на электронной площадке осуществляется без вз</w:t>
      </w:r>
      <w:r>
        <w:t>имания платы. Регистрации на электронной площадке подлежат заявители, ранее не зарегистрированные на электронной площадке, или регистрация которых на электронной площадке была ими прекращена.</w:t>
      </w:r>
    </w:p>
    <w:p w:rsidR="0032552C" w:rsidRDefault="00573F06">
      <w:pPr>
        <w:pStyle w:val="ConsPlusNormal0"/>
        <w:spacing w:before="200"/>
        <w:ind w:firstLine="540"/>
        <w:jc w:val="both"/>
      </w:pPr>
      <w:bookmarkStart w:id="17" w:name="P124"/>
      <w:bookmarkEnd w:id="17"/>
      <w:r>
        <w:t>4.2. Для участия в аукционе заявитель представляет в установленн</w:t>
      </w:r>
      <w:r>
        <w:t>ый в извещении о проведен</w:t>
      </w:r>
      <w:proofErr w:type="gramStart"/>
      <w:r>
        <w:t>ии ау</w:t>
      </w:r>
      <w:proofErr w:type="gramEnd"/>
      <w:r>
        <w:t>кциона срок следующие документы: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а) заявка на участие в аукционе по установленной форме с указанием реквизитов счета для возврата денежных средств, внесенных в качестве обеспечения заявки на участие в аукционе (в случае устано</w:t>
      </w:r>
      <w:r>
        <w:t>вления требования обеспечения заявки на участие в аукционе);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б) документы, подтверждающие внесение денежных сре</w:t>
      </w:r>
      <w:proofErr w:type="gramStart"/>
      <w:r>
        <w:t>дств в к</w:t>
      </w:r>
      <w:proofErr w:type="gramEnd"/>
      <w:r>
        <w:t>ачестве обеспечения заявки на участие в аукционе (в случае установления требования обеспечения заявки на участие в аукционе).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4.3. Для уч</w:t>
      </w:r>
      <w:r>
        <w:t>астия в аукционе заявитель подает заявку на участие в аукционе в соответствии с формами и требованиями, содержащимися в документации об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Заявка подается в форме электронного документа, подписанного электронной подписью заявителя.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4.4. Для участия </w:t>
      </w:r>
      <w:r>
        <w:t>в аукционе заявитель осуществляет перечисление денежных средств, вносимых в качестве обеспечения заявки на участие в аукционе, на банковские реквизиты оператора электронной площадки.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4.5. Исчерпывающий перечень документов и информации, необходимых в соотве</w:t>
      </w:r>
      <w:r>
        <w:t>тствии с законодательными или иными нормативными правовыми актами для проведения аукциона, которые находятся в распоряжении государственных органов и запрашиваются Главным управлением в органах (организациях), в распоряжении которых они находятся, если зая</w:t>
      </w:r>
      <w:r>
        <w:t>витель не представил такие документы и информацию самостоятельно: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выписка из Единого государственного реестра юридических лиц;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выписка из Единого государственного реестра индивидуальных предпринимателей.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Заявитель вправе приложить указанные документы к заявке на участие в аукционе по собственной инициативе.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4.6. Прием заявок на участие в аукционе прекращается не ранее чем за пять дней до дня проведения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Заявитель вправе подать только одну заявку н</w:t>
      </w:r>
      <w:r>
        <w:t>а участие в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4.7. Заявитель, подавший заявку на участие в аукционе, вправе отозвать такую заявку в любое время до дня и времени окончания срока приема заявок. Отзыв и изменение заявки осуществляется заявителем из личного кабинета электронной площа</w:t>
      </w:r>
      <w:r>
        <w:t xml:space="preserve">дки. Изменение заявки осуществляется путем отзыва ранее </w:t>
      </w:r>
      <w:r>
        <w:lastRenderedPageBreak/>
        <w:t xml:space="preserve">поданной заявки и подачи новой заявки. В случае отзыва заявки заявителем до окончания срока приема заявок оператор электронной площадки в течение одного часа прекращает блокирование денежных средств, </w:t>
      </w:r>
      <w:r>
        <w:t>заблокированных на лицевом счете заявителя в размере обеспечения заявки.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5. Условия допуска к участию в аукционе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>При рассмотрении заявок на участие в аукционе заявитель не допускается аукционной комиссией к участию в аукционе по следующим основаниям: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неп</w:t>
      </w:r>
      <w:r>
        <w:t xml:space="preserve">редставление определенных </w:t>
      </w:r>
      <w:hyperlink w:anchor="P124" w:tooltip="4.2. Для участия в аукционе заявитель представляет в установленный в извещении о проведении аукциона срок следующие документы:">
        <w:r>
          <w:rPr>
            <w:color w:val="0000FF"/>
          </w:rPr>
          <w:t>пунктом 4.2</w:t>
        </w:r>
      </w:hyperlink>
      <w:r>
        <w:t xml:space="preserve"> настоящего Порядка необходимых для участия в аукционе докум</w:t>
      </w:r>
      <w:r>
        <w:t>ентов или представление недостоверных сведений;</w:t>
      </w:r>
    </w:p>
    <w:p w:rsidR="0032552C" w:rsidRDefault="00573F06">
      <w:pPr>
        <w:pStyle w:val="ConsPlusNormal0"/>
        <w:spacing w:before="200"/>
        <w:ind w:firstLine="540"/>
        <w:jc w:val="both"/>
      </w:pPr>
      <w:proofErr w:type="spellStart"/>
      <w:r>
        <w:t>непоступление</w:t>
      </w:r>
      <w:proofErr w:type="spellEnd"/>
      <w:r>
        <w:t xml:space="preserve"> денежных средств, внесенных в качестве обеспечения заявки на участие в аукционе в случае установления требования обеспечения заявки, на счет, указанный в извещении о проведен</w:t>
      </w:r>
      <w:proofErr w:type="gramStart"/>
      <w:r>
        <w:t>ии ау</w:t>
      </w:r>
      <w:proofErr w:type="gramEnd"/>
      <w:r>
        <w:t>кциона (лицевой</w:t>
      </w:r>
      <w:r>
        <w:t xml:space="preserve"> счет заявителя на электронной площадке), до дня окончания приема документов для участия в аукционе;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несоответствие заявки на участие в аукционе требованиям, указанным в извещении о проведен</w:t>
      </w:r>
      <w:proofErr w:type="gramStart"/>
      <w:r>
        <w:t>ии ау</w:t>
      </w:r>
      <w:proofErr w:type="gramEnd"/>
      <w:r>
        <w:t>кциона.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6. Порядок рассмотрения заявок на участие в аукционе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>6.1. Аукционная комиссия рассматривает заявки на участие в аукционе на предмет соответствия требованиям, установленным в извещении о проведен</w:t>
      </w:r>
      <w:proofErr w:type="gramStart"/>
      <w:r>
        <w:t>ии ау</w:t>
      </w:r>
      <w:proofErr w:type="gramEnd"/>
      <w:r>
        <w:t>кциона, документации об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6.2. Срок рассмотрения заявок на участие в аукционе не может превышать один день со дня окончания срока приема заявок.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6.3. </w:t>
      </w:r>
      <w:proofErr w:type="gramStart"/>
      <w:r>
        <w:t>На основании результатов рассмотрения заявок на участие в аукционе аукционной комиссией принимается решение о допуске к участию в ау</w:t>
      </w:r>
      <w:r>
        <w:t>кционе заявителя и о признании заявителя, подавшего заявку на участие в аукционе, участником аукциона или об отказе в допуске такого заявителя к участию в аукционе в порядке и на основаниях, предусмотренных настоящим Порядком.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proofErr w:type="gramStart"/>
      <w:r>
        <w:t>Протокол приема заявок на уча</w:t>
      </w:r>
      <w:r>
        <w:t>стие в аукционе должен содержать сведения о заявителях, о датах подачи заявок на участие в аукционе, о денежных средствах, внесенных в качестве обеспечения заявки на участие в аукционе, а также сведения о заявителях, не допущенных к участию в аукционе, с у</w:t>
      </w:r>
      <w:r>
        <w:t>казанием причин отказа в допуске к участию в аукционе.</w:t>
      </w:r>
      <w:proofErr w:type="gramEnd"/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Протокол приема заявок на участие в аукционе опубликовывается Главным управлением </w:t>
      </w:r>
      <w:proofErr w:type="gramStart"/>
      <w:r>
        <w:t>в закрытой части электронной площадки в течение одного рабочего дня со дня подписания протокола приема заявок на участи</w:t>
      </w:r>
      <w:r>
        <w:t>е в аукционе</w:t>
      </w:r>
      <w:proofErr w:type="gramEnd"/>
      <w:r>
        <w:t>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Заявитель становится участником аукциона с момента подписания протокола приема заявок на участие в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6.4. Заявители, признанные участниками аукциона, и заявители, не допущенные к участию в аукционе, уведомляются оператором электронной</w:t>
      </w:r>
      <w:r>
        <w:t xml:space="preserve"> площадки о принятом решении путем направления информации в личный кабинет заявителя в течение одного дня со дня опубликования протокола приема заявок на участие в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6.5. Оператор электронной площадки в течение пяти рабочих дней с момента опубликов</w:t>
      </w:r>
      <w:r>
        <w:t>ания протокола приема заявок на участие в аукционе прекращает блокирование денежных средств, внесенных заявителем, не допущенным к участию в аукционе, в размере обеспечения заявки.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6.6. В случае если не было подано ни одной заявки на участие в аукционе, ли</w:t>
      </w:r>
      <w:r>
        <w:t>бо ни один из заявителей не признан участником аукциона, либо принято решение о признании только одного заявителя участником аукциона, аукционная комиссия оформляет протокол приема заявок на участие в аукционе с указанием информации о признан</w:t>
      </w:r>
      <w:proofErr w:type="gramStart"/>
      <w:r>
        <w:t>ии ау</w:t>
      </w:r>
      <w:proofErr w:type="gramEnd"/>
      <w:r>
        <w:t>кциона не</w:t>
      </w:r>
      <w:r>
        <w:t>состоявшимся.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7. Проведение аукциона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7.1. Аукцион проводится путем повышения начальной цены предмета аукциона (начальной цены права на заключение </w:t>
      </w:r>
      <w:proofErr w:type="spellStart"/>
      <w:r>
        <w:t>охотхозяйственного</w:t>
      </w:r>
      <w:proofErr w:type="spellEnd"/>
      <w:r>
        <w:t xml:space="preserve"> соглашения) на "шаг аукциона" (далее - подача предложений о цене).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"Шаг аукциона" устанав</w:t>
      </w:r>
      <w:r>
        <w:t>ливается в размере от 1% до 5% начальной цены предмета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Участники аукциона при проведен</w:t>
      </w:r>
      <w:proofErr w:type="gramStart"/>
      <w:r>
        <w:t>ии ау</w:t>
      </w:r>
      <w:proofErr w:type="gramEnd"/>
      <w:r>
        <w:t>кциона вправе предлагать более высокую цену предмета аукциона, равную либо кратную величине "шага аукциона".</w:t>
      </w:r>
    </w:p>
    <w:p w:rsidR="0032552C" w:rsidRDefault="00573F06">
      <w:pPr>
        <w:pStyle w:val="ConsPlusNormal0"/>
        <w:jc w:val="both"/>
      </w:pPr>
      <w:r>
        <w:t xml:space="preserve">(абзац введен </w:t>
      </w:r>
      <w:hyperlink r:id="rId14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Приказом</w:t>
        </w:r>
      </w:hyperlink>
      <w:r>
        <w:t xml:space="preserve"> Главного управления организации торгов Самарской области от 08.04.2022 N 115)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7.2. Победителе</w:t>
      </w:r>
      <w:r>
        <w:t xml:space="preserve">м аукциона признается участник, предложивший наиболее высокую цену за право заключить </w:t>
      </w:r>
      <w:proofErr w:type="spellStart"/>
      <w:r>
        <w:t>охотхозяйственное</w:t>
      </w:r>
      <w:proofErr w:type="spellEnd"/>
      <w:r>
        <w:t xml:space="preserve"> соглашение.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7.3. Аукцион проводится в день и время, </w:t>
      </w:r>
      <w:proofErr w:type="gramStart"/>
      <w:r>
        <w:t>указанные</w:t>
      </w:r>
      <w:proofErr w:type="gramEnd"/>
      <w:r>
        <w:t xml:space="preserve"> в извещении о проведении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7.4. Аукцион не проводится в случаях, если: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на участие </w:t>
      </w:r>
      <w:r>
        <w:t>в аукционе не подано ни одной заявки;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 результате рассмотрения заявок на участие в аукционе ни один из заявителей не признан участником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 результате рассмотрения заявок на участие в аукционе участником аукциона признан только один заявитель;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аук</w:t>
      </w:r>
      <w:r>
        <w:t>цион отменен.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7.5. Во время проведения процедуры аукциона оператор электронной площадки обеспечивает доступ участников аукциона к закрытой части электронной площадки и возможность подачи ими предложений о цене.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Оператор электронной площадки обеспечивает не</w:t>
      </w:r>
      <w:r>
        <w:t>прерывность процедуры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Со времени начала проведения процедуры аукциона оператором электронной площадки размещается: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а) в открытой части электронной площадки - информация о начале проведения процедуры аукциона с указанием наименования предмета аукциона, начальной цены предмета аукциона и текущего "шага аукциона";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б) в закрытой части электронной площадки - помимо информац</w:t>
      </w:r>
      <w:r>
        <w:t>ии, указанной в открытой части электронной площадки, также предложения о цене и время его поступления, "шаг аукциона", время, оставшееся до окончания приема предложений о цене.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7.6. В течение 30 минут со времени начала проведения процедуры аукциона участни</w:t>
      </w:r>
      <w:r>
        <w:t>кам аукциона предлагается подтвердить начальную цену предмета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В случае если в течение указанного времени: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а) поступило предложение о начальной цене предмета аукциона, то время для представления следующего предложения о цене, увеличенного на "шаг </w:t>
      </w:r>
      <w:r>
        <w:t>аукциона", продлевается на 10 минут со времени представления каждого следующего предложения о цене, увеличенного на "шаг аукциона". Если в течение 10 минут после представления последнего предложения о цене следующее, увеличенное на "шаг аукциона", предложе</w:t>
      </w:r>
      <w:r>
        <w:t>ние о цене не поступило, аукцион с помощью программно-аппаратных средств электронной площадки завершается;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lastRenderedPageBreak/>
        <w:t>б) не поступило ни одного предложения о начальной цене предмета аукциона, то аукцион с помощью программно-аппаратных средств электронной площадки зав</w:t>
      </w:r>
      <w:r>
        <w:t>ершается. В этом случае временем окончания представления предложений о начальной цене предмета аукциона является время завершения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7.7. Программными средствами электронной площадки обеспечивается: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а) исключение возможности подачи участником аукциона предложения о цене, не соответствующей увеличению текущей цены на величину "шага аукциона";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б) уведомление участника аукциона в случае, если предложение этого участника о цене не может быть принято в свя</w:t>
      </w:r>
      <w:r>
        <w:t>зи с подачей аналогичного предложения ранее другим участником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7.8. Главное управление обеспечивает видеозапись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7.9. Ход проведения процедуры аукциона фиксируется оператором электронной площадки в электронном журнале, который направляетс</w:t>
      </w:r>
      <w:r>
        <w:t>я Главному управлению в течение одного часа со времени завершения приема предложений о цене.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7.10. Аукционная комиссия рассматривает представленный журнал с предложениями по цене участников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hyperlink r:id="rId15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7.11</w:t>
        </w:r>
      </w:hyperlink>
      <w:r>
        <w:t>. Протокол аукциона должен содержать следующие сведения: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 предмете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 месте, дате и времени начала и окончания п</w:t>
      </w:r>
      <w:r>
        <w:t>роведения аукциона;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о начальной цене предмета аукциона (цене права на заключение </w:t>
      </w:r>
      <w:proofErr w:type="spellStart"/>
      <w:r>
        <w:t>охотхозяйственного</w:t>
      </w:r>
      <w:proofErr w:type="spellEnd"/>
      <w:r>
        <w:t xml:space="preserve"> соглашения);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 "шаге аукциона";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абзац утратил силу. - </w:t>
      </w:r>
      <w:hyperlink r:id="rId16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Приказ</w:t>
        </w:r>
      </w:hyperlink>
      <w:r>
        <w:t xml:space="preserve"> Главного управления организации торгов Самарской области от 08.04.2022 N 115;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>о последнем и предпоследнем предложениях о цене предмета аукциона, с указанием победите</w:t>
      </w:r>
      <w:r>
        <w:t>ля аукциона и участника аукциона, который сделал предпоследнее предложение о цене предмета аукциона, а также их идентификационные номера налогоплательщика.</w:t>
      </w:r>
    </w:p>
    <w:p w:rsidR="0032552C" w:rsidRDefault="00573F06">
      <w:pPr>
        <w:pStyle w:val="ConsPlusNormal0"/>
        <w:jc w:val="both"/>
      </w:pPr>
      <w:r>
        <w:t xml:space="preserve">(в ред. </w:t>
      </w:r>
      <w:hyperlink r:id="rId17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Приказа</w:t>
        </w:r>
      </w:hyperlink>
      <w:r>
        <w:t xml:space="preserve"> Главного управления организации торгов Самарской области от 08.04.2022 N 115)</w:t>
      </w:r>
    </w:p>
    <w:p w:rsidR="0032552C" w:rsidRDefault="00573F06">
      <w:pPr>
        <w:pStyle w:val="ConsPlusNormal0"/>
        <w:spacing w:before="200"/>
        <w:ind w:firstLine="540"/>
        <w:jc w:val="both"/>
      </w:pPr>
      <w:hyperlink r:id="rId18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7.12</w:t>
        </w:r>
      </w:hyperlink>
      <w:r>
        <w:t>. Оператор электронной площадки в течение пяти рабочих дней со дня подписания протокола о результатах аукциона прекращает блокирование в отнош</w:t>
      </w:r>
      <w:r>
        <w:t>ении денежных средств участников аукциона, заблокированных в размере обеспечения заявки на их лицевых счетах на электронной площадке, за исключением победителя аукциона, в том числе единственного участника.</w:t>
      </w:r>
    </w:p>
    <w:p w:rsidR="0032552C" w:rsidRDefault="00573F06">
      <w:pPr>
        <w:pStyle w:val="ConsPlusNormal0"/>
        <w:spacing w:before="200"/>
        <w:ind w:firstLine="540"/>
        <w:jc w:val="both"/>
      </w:pPr>
      <w:hyperlink r:id="rId19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7.13</w:t>
        </w:r>
      </w:hyperlink>
      <w:r>
        <w:t>. Главное управление в течение пяти рабочих дней со дня подписания протокола о результатах аукциона формирует поруч</w:t>
      </w:r>
      <w:r>
        <w:t>ение оператору электронной площадки о перечислении на счет Департамента денежных средств, внесенных в качестве обеспечения заявки на участие в аукционе победителем аукциона или единственным участником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hyperlink r:id="rId20" w:tooltip="Приказ Главного управления организации торгов Самарской области от 08.04.2022 N 115 &quot;О внесении изменений в приказ Главного управления организации торгов Самарской области от 17.08.2021 N 199 &quot;Об утверждении порядка проведения аукциона на право заключения охот">
        <w:r>
          <w:rPr>
            <w:color w:val="0000FF"/>
          </w:rPr>
          <w:t>7.14</w:t>
        </w:r>
      </w:hyperlink>
      <w:r>
        <w:t>. Информация о результатах аукциона опубликовывается Главным управлением на официальном сайте, на электронной п</w:t>
      </w:r>
      <w:r>
        <w:t>лощадке в течение трех рабочих дней со дня подписания протокола о результатах аукциона.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8. Отмена аукциона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8.1. Департамент, Главное управление вправе отказаться от проведения аукциона не </w:t>
      </w:r>
      <w:proofErr w:type="gramStart"/>
      <w:r>
        <w:t>позднее</w:t>
      </w:r>
      <w:proofErr w:type="gramEnd"/>
      <w:r>
        <w:t xml:space="preserve"> чем за пятнадцать дней до дня проведения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Извещение об отказе от проведения аукциона размещается Главным управлением на официальном </w:t>
      </w:r>
      <w:r>
        <w:lastRenderedPageBreak/>
        <w:t>сайте, а также направляется оператору электронной площадки в течение двух рабочих дней со дня принятия решения об отказе от проведения аукциона.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8.2. </w:t>
      </w:r>
      <w:proofErr w:type="gramStart"/>
      <w:r>
        <w:t xml:space="preserve">В случае отмены </w:t>
      </w:r>
      <w:r>
        <w:t>Главным управлением аукциона оператор электронной площадки в течение одного рабочего дня с момента получения извещения об отказе от проведения аукциона уведомляет заявителей, участников аукциона путем направления информации в их личный кабинет и прекращает</w:t>
      </w:r>
      <w:r>
        <w:t xml:space="preserve"> блокирование денежных средств в размере обеспечения заявки на лицевых счетах заявителей на электронной площадке, а также размещает извещение в открытой части электронной площадки.</w:t>
      </w:r>
      <w:proofErr w:type="gramEnd"/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Title0"/>
        <w:jc w:val="center"/>
        <w:outlineLvl w:val="1"/>
      </w:pPr>
      <w:r>
        <w:t>9. Заключительные положения</w:t>
      </w:r>
    </w:p>
    <w:p w:rsidR="0032552C" w:rsidRDefault="0032552C">
      <w:pPr>
        <w:pStyle w:val="ConsPlusNormal0"/>
        <w:jc w:val="both"/>
      </w:pPr>
    </w:p>
    <w:p w:rsidR="0032552C" w:rsidRDefault="00573F06">
      <w:pPr>
        <w:pStyle w:val="ConsPlusNormal0"/>
        <w:ind w:firstLine="540"/>
        <w:jc w:val="both"/>
      </w:pPr>
      <w:r>
        <w:t xml:space="preserve">9.1. </w:t>
      </w:r>
      <w:proofErr w:type="gramStart"/>
      <w:r>
        <w:t>Главное управление в течение трех рабочи</w:t>
      </w:r>
      <w:r>
        <w:t>х дней со дня подписания протокола о результатах аукциона уведомляет победителя аукциона путем направления письма на электронную почту победителя аукциона или по месту нахождения (жительства) победителя аукциона о размере доплаты (разнице между ценой права</w:t>
      </w:r>
      <w:r>
        <w:t xml:space="preserve"> на заключение </w:t>
      </w:r>
      <w:proofErr w:type="spellStart"/>
      <w:r>
        <w:t>охотхозяйственного</w:t>
      </w:r>
      <w:proofErr w:type="spellEnd"/>
      <w:r>
        <w:t xml:space="preserve"> соглашения и размером обеспечения заявки на участие в аукционе), которую победитель аукциона обязан перечислить на расчетный счет в</w:t>
      </w:r>
      <w:proofErr w:type="gramEnd"/>
      <w:r>
        <w:t xml:space="preserve"> срок, указанный в документации об аукционе.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9.2. Заключение </w:t>
      </w:r>
      <w:proofErr w:type="spellStart"/>
      <w:r>
        <w:t>охотхозяйственного</w:t>
      </w:r>
      <w:proofErr w:type="spellEnd"/>
      <w:r>
        <w:t xml:space="preserve"> соглашения </w:t>
      </w:r>
      <w:r>
        <w:t>по итогам аукциона осуществляется сторонами в простой письменной форме, вне электронной площадки.</w:t>
      </w:r>
    </w:p>
    <w:p w:rsidR="0032552C" w:rsidRDefault="00573F06">
      <w:pPr>
        <w:pStyle w:val="ConsPlusNormal0"/>
        <w:spacing w:before="200"/>
        <w:ind w:firstLine="540"/>
        <w:jc w:val="both"/>
      </w:pPr>
      <w:r>
        <w:t xml:space="preserve">9.3. В случае если победитель аукциона уклонился от заключения </w:t>
      </w:r>
      <w:proofErr w:type="spellStart"/>
      <w:r>
        <w:t>охотхозяйственного</w:t>
      </w:r>
      <w:proofErr w:type="spellEnd"/>
      <w:r>
        <w:t xml:space="preserve"> соглашения, Департамент вправе обратиться в суд с требованием о возмещении у</w:t>
      </w:r>
      <w:r>
        <w:t xml:space="preserve">бытков, причиненных уклонением победителя аукциона от заключения такого соглашения, или заключить такое соглашение с участником аукциона, который сделал предпоследнее предложение о цене предмета аукциона (цене права на заключение </w:t>
      </w:r>
      <w:proofErr w:type="spellStart"/>
      <w:r>
        <w:t>охотхозяйственного</w:t>
      </w:r>
      <w:proofErr w:type="spellEnd"/>
      <w:r>
        <w:t xml:space="preserve"> соглаше</w:t>
      </w:r>
      <w:r>
        <w:t>ния).</w:t>
      </w: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jc w:val="both"/>
      </w:pPr>
    </w:p>
    <w:p w:rsidR="0032552C" w:rsidRDefault="0032552C">
      <w:pPr>
        <w:pStyle w:val="ConsPlusNormal0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sectPr w:rsidR="0032552C">
      <w:headerReference w:type="default" r:id="rId21"/>
      <w:footerReference w:type="default" r:id="rId22"/>
      <w:headerReference w:type="first" r:id="rId23"/>
      <w:footerReference w:type="first" r:id="rId24"/>
      <w:pgSz w:w="11906" w:h="16838"/>
      <w:pgMar w:top="1440" w:right="566" w:bottom="1440" w:left="1133" w:header="0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73F06" w:rsidRDefault="00573F06">
      <w:r>
        <w:separator/>
      </w:r>
    </w:p>
  </w:endnote>
  <w:endnote w:type="continuationSeparator" w:id="0">
    <w:p w:rsidR="00573F06" w:rsidRDefault="00573F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52C" w:rsidRDefault="0032552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2552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2552C" w:rsidRDefault="0032552C">
          <w:pPr>
            <w:pStyle w:val="ConsPlusNormal0"/>
          </w:pPr>
        </w:p>
      </w:tc>
      <w:tc>
        <w:tcPr>
          <w:tcW w:w="1700" w:type="pct"/>
          <w:vAlign w:val="center"/>
        </w:tcPr>
        <w:p w:rsidR="0032552C" w:rsidRDefault="0032552C">
          <w:pPr>
            <w:pStyle w:val="ConsPlusNormal0"/>
            <w:jc w:val="center"/>
          </w:pPr>
        </w:p>
      </w:tc>
      <w:tc>
        <w:tcPr>
          <w:tcW w:w="1650" w:type="pct"/>
          <w:vAlign w:val="center"/>
        </w:tcPr>
        <w:p w:rsidR="0032552C" w:rsidRDefault="0032552C">
          <w:pPr>
            <w:pStyle w:val="ConsPlusNormal0"/>
            <w:jc w:val="right"/>
          </w:pPr>
        </w:p>
      </w:tc>
    </w:tr>
  </w:tbl>
  <w:p w:rsidR="0032552C" w:rsidRDefault="00573F06">
    <w:pPr>
      <w:pStyle w:val="ConsPlusNormal0"/>
    </w:pPr>
    <w:r>
      <w:rPr>
        <w:sz w:val="2"/>
        <w:szCs w:val="2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552C" w:rsidRDefault="0032552C">
    <w:pPr>
      <w:pStyle w:val="ConsPlusNormal0"/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3394"/>
      <w:gridCol w:w="3498"/>
      <w:gridCol w:w="3395"/>
    </w:tblGrid>
    <w:tr w:rsidR="0032552C">
      <w:tblPrEx>
        <w:tblCellMar>
          <w:top w:w="0" w:type="dxa"/>
          <w:bottom w:w="0" w:type="dxa"/>
        </w:tblCellMar>
      </w:tblPrEx>
      <w:trPr>
        <w:trHeight w:hRule="exact" w:val="1663"/>
      </w:trPr>
      <w:tc>
        <w:tcPr>
          <w:tcW w:w="1650" w:type="pct"/>
          <w:vAlign w:val="center"/>
        </w:tcPr>
        <w:p w:rsidR="0032552C" w:rsidRDefault="0032552C">
          <w:pPr>
            <w:pStyle w:val="ConsPlusNormal0"/>
          </w:pPr>
        </w:p>
      </w:tc>
      <w:tc>
        <w:tcPr>
          <w:tcW w:w="1700" w:type="pct"/>
          <w:vAlign w:val="center"/>
        </w:tcPr>
        <w:p w:rsidR="0032552C" w:rsidRDefault="0032552C">
          <w:pPr>
            <w:pStyle w:val="ConsPlusNormal0"/>
            <w:jc w:val="center"/>
          </w:pPr>
        </w:p>
      </w:tc>
      <w:tc>
        <w:tcPr>
          <w:tcW w:w="1650" w:type="pct"/>
          <w:vAlign w:val="center"/>
        </w:tcPr>
        <w:p w:rsidR="0032552C" w:rsidRDefault="0032552C">
          <w:pPr>
            <w:pStyle w:val="ConsPlusNormal0"/>
            <w:jc w:val="right"/>
          </w:pPr>
        </w:p>
      </w:tc>
    </w:tr>
  </w:tbl>
  <w:p w:rsidR="0032552C" w:rsidRDefault="00573F06">
    <w:pPr>
      <w:pStyle w:val="ConsPlusNormal0"/>
    </w:pPr>
    <w:r>
      <w:rPr>
        <w:sz w:val="2"/>
        <w:szCs w:val="2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73F06" w:rsidRDefault="00573F06">
      <w:r>
        <w:separator/>
      </w:r>
    </w:p>
  </w:footnote>
  <w:footnote w:type="continuationSeparator" w:id="0">
    <w:p w:rsidR="00573F06" w:rsidRDefault="00573F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32552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2552C" w:rsidRDefault="0032552C">
          <w:pPr>
            <w:pStyle w:val="ConsPlusNormal0"/>
            <w:rPr>
              <w:rFonts w:ascii="Tahoma" w:hAnsi="Tahoma" w:cs="Tahoma"/>
            </w:rPr>
          </w:pPr>
        </w:p>
      </w:tc>
      <w:tc>
        <w:tcPr>
          <w:tcW w:w="2300" w:type="pct"/>
          <w:vAlign w:val="center"/>
        </w:tcPr>
        <w:p w:rsidR="0032552C" w:rsidRDefault="0032552C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32552C" w:rsidRDefault="0032552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2552C" w:rsidRDefault="0032552C">
    <w:pPr>
      <w:pStyle w:val="ConsPlusNormal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Layout w:type="fixed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5555"/>
      <w:gridCol w:w="4732"/>
    </w:tblGrid>
    <w:tr w:rsidR="0032552C">
      <w:tblPrEx>
        <w:tblCellMar>
          <w:top w:w="0" w:type="dxa"/>
          <w:bottom w:w="0" w:type="dxa"/>
        </w:tblCellMar>
      </w:tblPrEx>
      <w:trPr>
        <w:trHeight w:hRule="exact" w:val="1683"/>
      </w:trPr>
      <w:tc>
        <w:tcPr>
          <w:tcW w:w="2700" w:type="pct"/>
          <w:vAlign w:val="center"/>
        </w:tcPr>
        <w:p w:rsidR="0032552C" w:rsidRDefault="0032552C">
          <w:pPr>
            <w:pStyle w:val="ConsPlusNormal0"/>
            <w:rPr>
              <w:rFonts w:ascii="Tahoma" w:hAnsi="Tahoma" w:cs="Tahoma"/>
            </w:rPr>
          </w:pPr>
        </w:p>
      </w:tc>
      <w:tc>
        <w:tcPr>
          <w:tcW w:w="2300" w:type="pct"/>
          <w:vAlign w:val="center"/>
        </w:tcPr>
        <w:p w:rsidR="0032552C" w:rsidRDefault="0032552C">
          <w:pPr>
            <w:pStyle w:val="ConsPlusNormal0"/>
            <w:jc w:val="right"/>
            <w:rPr>
              <w:rFonts w:ascii="Tahoma" w:hAnsi="Tahoma" w:cs="Tahoma"/>
            </w:rPr>
          </w:pPr>
        </w:p>
      </w:tc>
    </w:tr>
  </w:tbl>
  <w:p w:rsidR="0032552C" w:rsidRDefault="0032552C">
    <w:pPr>
      <w:pStyle w:val="ConsPlusNormal0"/>
      <w:pBdr>
        <w:bottom w:val="single" w:sz="12" w:space="0" w:color="auto"/>
      </w:pBdr>
      <w:rPr>
        <w:sz w:val="2"/>
        <w:szCs w:val="2"/>
      </w:rPr>
    </w:pPr>
  </w:p>
  <w:p w:rsidR="0032552C" w:rsidRDefault="0032552C">
    <w:pPr>
      <w:pStyle w:val="ConsPlusNormal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2552C"/>
    <w:rsid w:val="001C4CCF"/>
    <w:rsid w:val="0032552C"/>
    <w:rsid w:val="00573F06"/>
    <w:rsid w:val="00F919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0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rmal0">
    <w:name w:val="ConsPlusNormal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Nonformat0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0">
    <w:name w:val="ConsPlusTitle"/>
    <w:pPr>
      <w:widowControl w:val="0"/>
      <w:autoSpaceDE w:val="0"/>
      <w:autoSpaceDN w:val="0"/>
    </w:pPr>
    <w:rPr>
      <w:rFonts w:ascii="Arial" w:hAnsi="Arial" w:cs="Arial"/>
      <w:b/>
      <w:sz w:val="20"/>
    </w:rPr>
  </w:style>
  <w:style w:type="paragraph" w:customStyle="1" w:styleId="ConsPlusCell0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DocList0">
    <w:name w:val="ConsPlusDocList"/>
    <w:pPr>
      <w:widowControl w:val="0"/>
      <w:autoSpaceDE w:val="0"/>
      <w:autoSpaceDN w:val="0"/>
    </w:pPr>
    <w:rPr>
      <w:rFonts w:ascii="Courier New" w:hAnsi="Courier New" w:cs="Courier New"/>
      <w:sz w:val="20"/>
    </w:rPr>
  </w:style>
  <w:style w:type="paragraph" w:customStyle="1" w:styleId="ConsPlusTitlePage0">
    <w:name w:val="ConsPlusTitlePage"/>
    <w:pPr>
      <w:widowControl w:val="0"/>
      <w:autoSpaceDE w:val="0"/>
      <w:autoSpaceDN w:val="0"/>
    </w:pPr>
    <w:rPr>
      <w:rFonts w:ascii="Tahoma" w:hAnsi="Tahoma" w:cs="Tahoma"/>
      <w:sz w:val="20"/>
    </w:rPr>
  </w:style>
  <w:style w:type="paragraph" w:customStyle="1" w:styleId="ConsPlusJurTerm0">
    <w:name w:val="ConsPlusJurTerm"/>
    <w:pPr>
      <w:widowControl w:val="0"/>
      <w:autoSpaceDE w:val="0"/>
      <w:autoSpaceDN w:val="0"/>
    </w:pPr>
    <w:rPr>
      <w:rFonts w:ascii="Tahoma" w:hAnsi="Tahoma" w:cs="Tahoma"/>
      <w:sz w:val="26"/>
    </w:rPr>
  </w:style>
  <w:style w:type="paragraph" w:customStyle="1" w:styleId="ConsPlusTextList1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customStyle="1" w:styleId="ConsPlusTextList2">
    <w:name w:val="ConsPlusTextList"/>
    <w:pPr>
      <w:widowControl w:val="0"/>
      <w:autoSpaceDE w:val="0"/>
      <w:autoSpaceDN w:val="0"/>
    </w:pPr>
    <w:rPr>
      <w:rFonts w:ascii="Arial" w:hAnsi="Arial" w:cs="Arial"/>
      <w:sz w:val="20"/>
    </w:rPr>
  </w:style>
  <w:style w:type="paragraph" w:styleId="a3">
    <w:name w:val="Balloon Text"/>
    <w:basedOn w:val="a"/>
    <w:link w:val="a4"/>
    <w:uiPriority w:val="99"/>
    <w:semiHidden/>
    <w:unhideWhenUsed/>
    <w:rsid w:val="001C4CC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C4CC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C4CC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C4CCF"/>
  </w:style>
  <w:style w:type="paragraph" w:styleId="a7">
    <w:name w:val="footer"/>
    <w:basedOn w:val="a"/>
    <w:link w:val="a8"/>
    <w:uiPriority w:val="99"/>
    <w:unhideWhenUsed/>
    <w:rsid w:val="001C4CC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C4CC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4350C44240E9DFF15EA01F38CE2972848ABA95E0BF6DA7DEB02C1677BAEE0528B9315CABDF2B3CAECFBC527A5F5A24F3F15132C67623764j3K7H" TargetMode="External"/><Relationship Id="rId13" Type="http://schemas.openxmlformats.org/officeDocument/2006/relationships/hyperlink" Target="consultantplus://offline/ref=84350C44240E9DFF15EA1FFE9A8ECB204AA3F75508FBD92FBF54C73024FEE607CBD3139FFEB6BCC9E9F09177E0ABFB1F7B5E1E29797E37622A8CE7DFj9K7H" TargetMode="External"/><Relationship Id="rId18" Type="http://schemas.openxmlformats.org/officeDocument/2006/relationships/hyperlink" Target="consultantplus://offline/ref=84350C44240E9DFF15EA1FFE9A8ECB204AA3F75508FBD523B55EC73024FEE607CBD3139FFEB6BCC9E9F09176E8ABFB1F7B5E1E29797E37622A8CE7DFj9K7H" TargetMode="External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hyperlink" Target="consultantplus://offline/ref=EC749EA0DE446EC758DCECF6AC34D5999E06290DF72847E1228C78DAE307DB36AB5EA26BA9802BFB5366823B805F6318D3F8FF480D1062B085FE4721i6KDH" TargetMode="External"/><Relationship Id="rId12" Type="http://schemas.openxmlformats.org/officeDocument/2006/relationships/hyperlink" Target="consultantplus://offline/ref=84350C44240E9DFF15EA01F38CE2972848A9AC5B00FFDA7DEB02C1677BAEE05299934DC6BCF2AFC8EDEE9376E3jAK3H" TargetMode="External"/><Relationship Id="rId17" Type="http://schemas.openxmlformats.org/officeDocument/2006/relationships/hyperlink" Target="consultantplus://offline/ref=84350C44240E9DFF15EA1FFE9A8ECB204AA3F75508FBD523B55EC73024FEE607CBD3139FFEB6BCC9E9F09177E3ABFB1F7B5E1E29797E37622A8CE7DFj9K7H" TargetMode="External"/><Relationship Id="rId25" Type="http://schemas.openxmlformats.org/officeDocument/2006/relationships/fontTable" Target="fontTable.xm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84350C44240E9DFF15EA1FFE9A8ECB204AA3F75508FBD523B55EC73024FEE607CBD3139FFEB6BCC9E9F09177E0ABFB1F7B5E1E29797E37622A8CE7DFj9K7H" TargetMode="External"/><Relationship Id="rId20" Type="http://schemas.openxmlformats.org/officeDocument/2006/relationships/hyperlink" Target="consultantplus://offline/ref=84350C44240E9DFF15EA1FFE9A8ECB204AA3F75508FBD523B55EC73024FEE607CBD3139FFEB6BCC9E9F09176E8ABFB1F7B5E1E29797E37622A8CE7DFj9K7H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84350C44240E9DFF15EA01F38CE2972848ABA95E0BF6DA7DEB02C1677BAEE0528B9315CABDF2B3CAECFBC527A5F5A24F3F15132C67623764j3K7H" TargetMode="External"/><Relationship Id="rId24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84350C44240E9DFF15EA1FFE9A8ECB204AA3F75508FBD523B55EC73024FEE607CBD3139FFEB6BCC9E9F09176E8ABFB1F7B5E1E29797E37622A8CE7DFj9K7H" TargetMode="External"/><Relationship Id="rId23" Type="http://schemas.openxmlformats.org/officeDocument/2006/relationships/header" Target="header2.xml"/><Relationship Id="rId10" Type="http://schemas.openxmlformats.org/officeDocument/2006/relationships/hyperlink" Target="consultantplus://offline/ref=84350C44240E9DFF15EA1FFE9A8ECB204AA3F75508FBD523B55EC73024FEE607CBD3139FFEB6BCC9E9F09176E7ABFB1F7B5E1E29797E37622A8CE7DFj9K7H" TargetMode="External"/><Relationship Id="rId19" Type="http://schemas.openxmlformats.org/officeDocument/2006/relationships/hyperlink" Target="consultantplus://offline/ref=84350C44240E9DFF15EA1FFE9A8ECB204AA3F75508FBD523B55EC73024FEE607CBD3139FFEB6BCC9E9F09176E8ABFB1F7B5E1E29797E37622A8CE7DFj9K7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84350C44240E9DFF15EA1FFE9A8ECB204AA3F75508F8D42CB556C73024FEE607CBD3139FFEB6BCC9E9F09075E8ABFB1F7B5E1E29797E37622A8CE7DFj9K7H" TargetMode="External"/><Relationship Id="rId14" Type="http://schemas.openxmlformats.org/officeDocument/2006/relationships/hyperlink" Target="consultantplus://offline/ref=84350C44240E9DFF15EA1FFE9A8ECB204AA3F75508FBD523B55EC73024FEE607CBD3139FFEB6BCC9E9F09176E6ABFB1F7B5E1E29797E37622A8CE7DFj9K7H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11</Pages>
  <Words>6561</Words>
  <Characters>37400</Characters>
  <Application>Microsoft Office Word</Application>
  <DocSecurity>0</DocSecurity>
  <Lines>311</Lines>
  <Paragraphs>87</Paragraphs>
  <ScaleCrop>false</ScaleCrop>
  <Company>КонсультантПлюс Версия 4022.00.55</Company>
  <LinksUpToDate>false</LinksUpToDate>
  <CharactersWithSpaces>43874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Приказ Главного управления организации торгов Самарской области от 17.08.2021 N 199
(ред. от 08.04.2022)
"Об утверждении Порядка проведения аукциона на право заключения охотхозяйственного соглашения"</dc:title>
  <cp:lastModifiedBy>Федорова Татьяна Анатольевна</cp:lastModifiedBy>
  <cp:revision>12</cp:revision>
  <dcterms:created xsi:type="dcterms:W3CDTF">2023-04-10T07:10:00Z</dcterms:created>
  <dcterms:modified xsi:type="dcterms:W3CDTF">2023-11-22T09:58:00Z</dcterms:modified>
</cp:coreProperties>
</file>